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8DDCCA">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24</w:t>
      </w:r>
      <w:r>
        <w:rPr>
          <w:rFonts w:ascii="Arial" w:hAnsi="Arial" w:cs="Arial"/>
          <w:b/>
          <w:sz w:val="22"/>
          <w:szCs w:val="22"/>
        </w:rPr>
        <w:tab/>
      </w:r>
      <w:r>
        <w:rPr>
          <w:rFonts w:ascii="Arial" w:hAnsi="Arial" w:cs="Arial"/>
          <w:b/>
          <w:sz w:val="22"/>
          <w:szCs w:val="22"/>
        </w:rPr>
        <w:t>S3-2</w:t>
      </w:r>
      <w:r>
        <w:rPr>
          <w:rFonts w:ascii="Arial" w:hAnsi="Arial" w:cs="Arial"/>
          <w:b/>
          <w:sz w:val="22"/>
          <w:szCs w:val="22"/>
          <w:lang w:val="en-US"/>
        </w:rPr>
        <w:t>5</w:t>
      </w:r>
      <w:r>
        <w:rPr>
          <w:rFonts w:hint="default" w:ascii="Arial" w:hAnsi="Arial" w:cs="Arial"/>
          <w:b/>
          <w:sz w:val="22"/>
          <w:szCs w:val="22"/>
          <w:lang w:val="en-US"/>
        </w:rPr>
        <w:t>3223</w:t>
      </w:r>
    </w:p>
    <w:p w14:paraId="57BCD62C">
      <w:pPr>
        <w:pStyle w:val="38"/>
        <w:rPr>
          <w:b w:val="0"/>
          <w:bCs/>
          <w:sz w:val="24"/>
          <w:lang w:val="en-US"/>
        </w:rPr>
      </w:pPr>
      <w:r>
        <w:rPr>
          <w:rFonts w:hint="eastAsia" w:cs="Arial"/>
          <w:sz w:val="22"/>
          <w:szCs w:val="22"/>
          <w:lang w:val="en-US" w:eastAsia="zh-CN"/>
        </w:rPr>
        <w:t>Wuhan</w:t>
      </w:r>
      <w:r>
        <w:rPr>
          <w:rFonts w:cs="Arial"/>
          <w:sz w:val="22"/>
          <w:szCs w:val="22"/>
        </w:rPr>
        <w:t>,</w:t>
      </w:r>
      <w:r>
        <w:rPr>
          <w:rFonts w:hint="eastAsia" w:cs="Arial"/>
          <w:sz w:val="22"/>
          <w:szCs w:val="22"/>
          <w:lang w:val="en-US" w:eastAsia="zh-CN"/>
        </w:rPr>
        <w:t xml:space="preserve"> China</w:t>
      </w:r>
      <w:r>
        <w:rPr>
          <w:rFonts w:cs="Arial"/>
          <w:sz w:val="22"/>
          <w:szCs w:val="22"/>
          <w:lang w:val="en-US"/>
        </w:rPr>
        <w:t>,</w:t>
      </w:r>
      <w:r>
        <w:rPr>
          <w:rFonts w:cs="Arial"/>
          <w:sz w:val="22"/>
          <w:szCs w:val="22"/>
        </w:rPr>
        <w:t xml:space="preserve"> </w:t>
      </w:r>
      <w:r>
        <w:rPr>
          <w:rFonts w:hint="eastAsia" w:cs="Arial"/>
          <w:sz w:val="22"/>
          <w:szCs w:val="22"/>
          <w:lang w:val="en-US" w:eastAsia="zh-CN"/>
        </w:rPr>
        <w:t>13</w:t>
      </w:r>
      <w:r>
        <w:rPr>
          <w:rFonts w:cs="Arial"/>
          <w:sz w:val="22"/>
          <w:szCs w:val="22"/>
        </w:rPr>
        <w:t xml:space="preserve"> - </w:t>
      </w:r>
      <w:r>
        <w:rPr>
          <w:rFonts w:hint="eastAsia" w:cs="Arial"/>
          <w:sz w:val="22"/>
          <w:szCs w:val="22"/>
          <w:lang w:val="en-US" w:eastAsia="zh-CN"/>
        </w:rPr>
        <w:t>17</w:t>
      </w:r>
      <w:r>
        <w:rPr>
          <w:rFonts w:cs="Arial"/>
          <w:sz w:val="22"/>
          <w:szCs w:val="22"/>
        </w:rPr>
        <w:t xml:space="preserve"> </w:t>
      </w:r>
      <w:r>
        <w:rPr>
          <w:rFonts w:hint="eastAsia" w:cs="Arial"/>
          <w:sz w:val="22"/>
          <w:szCs w:val="22"/>
          <w:lang w:val="en-US" w:eastAsia="zh-CN"/>
        </w:rPr>
        <w:t>October</w:t>
      </w:r>
      <w:r>
        <w:rPr>
          <w:rFonts w:cs="Arial"/>
          <w:sz w:val="22"/>
          <w:szCs w:val="22"/>
        </w:rPr>
        <w:t xml:space="preserve"> 202</w:t>
      </w:r>
      <w:r>
        <w:rPr>
          <w:rFonts w:cs="Arial"/>
          <w:sz w:val="22"/>
          <w:szCs w:val="22"/>
          <w:lang w:val="en-US"/>
        </w:rPr>
        <w:t>5</w:t>
      </w:r>
    </w:p>
    <w:p w14:paraId="02714ACD">
      <w:pPr>
        <w:keepNext/>
        <w:pBdr>
          <w:bottom w:val="single" w:color="auto" w:sz="4" w:space="1"/>
        </w:pBdr>
        <w:tabs>
          <w:tab w:val="right" w:pos="9639"/>
        </w:tabs>
        <w:outlineLvl w:val="0"/>
        <w:rPr>
          <w:rFonts w:ascii="Arial" w:hAnsi="Arial" w:cs="Arial"/>
          <w:b/>
          <w:sz w:val="24"/>
        </w:rPr>
      </w:pPr>
    </w:p>
    <w:p w14:paraId="4F4F54C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134020779"/>
      <w:r>
        <w:rPr>
          <w:rFonts w:ascii="Arial" w:hAnsi="Arial"/>
          <w:b/>
          <w:lang w:val="en-US"/>
        </w:rPr>
        <w:t>Apple</w:t>
      </w:r>
    </w:p>
    <w:bookmarkEnd w:id="0"/>
    <w:p w14:paraId="3173C92F">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ascii="Arial" w:hAnsi="Arial" w:cs="Arial"/>
          <w:b/>
        </w:rPr>
        <w:t xml:space="preserve">Discussion paper </w:t>
      </w:r>
      <w:r>
        <w:rPr>
          <w:rFonts w:ascii="Arial" w:hAnsi="Arial" w:cs="Arial"/>
          <w:b/>
          <w:lang w:val="en-US"/>
        </w:rPr>
        <w:t xml:space="preserve">on </w:t>
      </w:r>
      <w:r>
        <w:rPr>
          <w:rFonts w:hint="eastAsia" w:ascii="Arial" w:hAnsi="Arial" w:cs="Arial"/>
          <w:b/>
          <w:lang w:val="en-US" w:eastAsia="zh-CN"/>
        </w:rPr>
        <w:t>user consent for NW-side data collection</w:t>
      </w:r>
    </w:p>
    <w:p w14:paraId="41F9E2B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hint="default" w:ascii="Arial" w:hAnsi="Arial"/>
          <w:b/>
          <w:lang w:val="en-US"/>
        </w:rPr>
        <w:t>D</w:t>
      </w:r>
      <w:r>
        <w:rPr>
          <w:rFonts w:ascii="Arial" w:hAnsi="Arial"/>
          <w:b/>
          <w:lang w:eastAsia="zh-CN"/>
        </w:rPr>
        <w:t>iscussion</w:t>
      </w:r>
    </w:p>
    <w:p w14:paraId="2A7B9419">
      <w:pPr>
        <w:keepNext/>
        <w:pBdr>
          <w:bottom w:val="single" w:color="auto" w:sz="4" w:space="1"/>
        </w:pBdr>
        <w:tabs>
          <w:tab w:val="left" w:pos="2127"/>
        </w:tabs>
        <w:spacing w:after="0"/>
        <w:ind w:left="2126" w:hanging="2126"/>
        <w:rPr>
          <w:rFonts w:hint="default" w:ascii="Arial" w:hAnsi="Arial" w:eastAsia="宋体"/>
          <w:b/>
          <w:bCs/>
          <w:lang w:val="en-US" w:eastAsia="zh-CN"/>
        </w:rPr>
      </w:pPr>
      <w:r>
        <w:rPr>
          <w:rFonts w:ascii="Arial" w:hAnsi="Arial"/>
          <w:b/>
          <w:bCs/>
        </w:rPr>
        <w:t>Agenda Item:</w:t>
      </w:r>
      <w:r>
        <w:tab/>
      </w:r>
      <w:r>
        <w:rPr>
          <w:rFonts w:hint="default" w:ascii="Arial" w:hAnsi="Arial"/>
          <w:b/>
          <w:bCs/>
          <w:lang w:val="en-US" w:eastAsia="zh-CN"/>
        </w:rPr>
        <w:t>3</w:t>
      </w:r>
    </w:p>
    <w:p w14:paraId="61ED4218">
      <w:pPr>
        <w:pStyle w:val="2"/>
      </w:pPr>
      <w:r>
        <w:t>1</w:t>
      </w:r>
      <w:r>
        <w:tab/>
      </w:r>
      <w:r>
        <w:t>Decision/action requested</w:t>
      </w:r>
    </w:p>
    <w:p w14:paraId="660D89B4">
      <w:pPr>
        <w:pBdr>
          <w:top w:val="single" w:color="auto" w:sz="4" w:space="1"/>
          <w:left w:val="single" w:color="auto" w:sz="4" w:space="4"/>
          <w:bottom w:val="single" w:color="auto" w:sz="4" w:space="1"/>
          <w:right w:val="single" w:color="auto" w:sz="4" w:space="4"/>
        </w:pBdr>
        <w:shd w:val="clear" w:color="auto" w:fill="FFFF99"/>
        <w:jc w:val="center"/>
        <w:rPr>
          <w:rFonts w:hint="default" w:eastAsia="宋体"/>
          <w:lang w:val="en-US" w:eastAsia="zh-CN"/>
        </w:rPr>
      </w:pPr>
      <w:r>
        <w:rPr>
          <w:b/>
          <w:i/>
        </w:rPr>
        <w:t xml:space="preserve">It is requested to discuss the </w:t>
      </w:r>
      <w:r>
        <w:rPr>
          <w:rFonts w:hint="eastAsia"/>
          <w:b/>
          <w:i/>
          <w:lang w:val="en-US" w:eastAsia="zh-CN"/>
        </w:rPr>
        <w:t>background and the principles for the user consent for NW-side data collection</w:t>
      </w:r>
    </w:p>
    <w:p w14:paraId="3068A951">
      <w:pPr>
        <w:pStyle w:val="2"/>
      </w:pPr>
      <w:r>
        <w:t>2</w:t>
      </w:r>
      <w:r>
        <w:tab/>
      </w:r>
      <w:r>
        <w:t>References</w:t>
      </w:r>
    </w:p>
    <w:p w14:paraId="7564DC3F">
      <w:pPr>
        <w:pStyle w:val="135"/>
        <w:rPr>
          <w:rFonts w:hint="default" w:eastAsia="微软雅黑"/>
          <w:lang w:val="en-US" w:eastAsia="zh-CN"/>
        </w:rPr>
      </w:pPr>
      <w:r>
        <w:rPr>
          <w:rFonts w:eastAsia="微软雅黑"/>
        </w:rPr>
        <w:t>[</w:t>
      </w:r>
      <w:r>
        <w:rPr>
          <w:rFonts w:eastAsia="微软雅黑"/>
          <w:lang w:val="en-US"/>
        </w:rPr>
        <w:t>1</w:t>
      </w:r>
      <w:r>
        <w:rPr>
          <w:rFonts w:eastAsia="微软雅黑"/>
        </w:rPr>
        <w:t xml:space="preserve">] </w:t>
      </w:r>
      <w:r>
        <w:rPr>
          <w:rFonts w:hint="eastAsia" w:eastAsia="微软雅黑"/>
          <w:lang w:val="en-US" w:eastAsia="zh-CN"/>
        </w:rPr>
        <w:t>R2-2506541 LS on user consent for NW-side data collection</w:t>
      </w:r>
    </w:p>
    <w:p w14:paraId="0D456C5F">
      <w:pPr>
        <w:pStyle w:val="135"/>
        <w:rPr>
          <w:rFonts w:hint="default" w:eastAsia="微软雅黑"/>
          <w:lang w:val="en-US" w:eastAsia="zh-CN"/>
        </w:rPr>
      </w:pPr>
      <w:r>
        <w:rPr>
          <w:rFonts w:hint="default" w:eastAsia="微软雅黑"/>
          <w:lang w:val="en-US"/>
        </w:rPr>
        <w:t xml:space="preserve">[2] </w:t>
      </w:r>
      <w:r>
        <w:rPr>
          <w:rFonts w:hint="eastAsia" w:eastAsia="微软雅黑"/>
          <w:lang w:val="en-US" w:eastAsia="zh-CN"/>
        </w:rPr>
        <w:t>R2-2506186 DP on user consent for NW-side data collection</w:t>
      </w:r>
    </w:p>
    <w:p w14:paraId="2EA2D559">
      <w:pPr>
        <w:pStyle w:val="135"/>
        <w:rPr>
          <w:rFonts w:hint="default" w:eastAsia="微软雅黑"/>
          <w:lang w:val="en-US" w:eastAsia="zh-CN"/>
        </w:rPr>
      </w:pPr>
      <w:r>
        <w:rPr>
          <w:rFonts w:hint="default" w:eastAsia="微软雅黑"/>
          <w:lang w:val="en-US" w:eastAsia="zh-CN"/>
        </w:rPr>
        <w:t xml:space="preserve">[3] </w:t>
      </w:r>
      <w:r>
        <w:rPr>
          <w:rFonts w:hint="eastAsia" w:eastAsia="微软雅黑"/>
          <w:lang w:val="en-US" w:eastAsia="zh-CN"/>
        </w:rPr>
        <w:t>TS 32.422</w:t>
      </w:r>
      <w:r>
        <w:rPr>
          <w:rFonts w:hint="default" w:eastAsia="微软雅黑"/>
          <w:lang w:val="en-US" w:eastAsia="zh-CN"/>
        </w:rPr>
        <w:t xml:space="preserve"> v19.3.0:</w:t>
      </w:r>
      <w:r>
        <w:rPr>
          <w:rFonts w:hint="eastAsia" w:eastAsia="微软雅黑"/>
          <w:lang w:val="en-US" w:eastAsia="zh-CN"/>
        </w:rPr>
        <w:t xml:space="preserve"> Telecommunication management; Subscriber and equipment trace; Trace control and configuration management</w:t>
      </w:r>
    </w:p>
    <w:p w14:paraId="7EC85BD5">
      <w:pPr>
        <w:pStyle w:val="135"/>
        <w:rPr>
          <w:rFonts w:hint="default" w:eastAsia="微软雅黑"/>
          <w:lang w:val="en-US" w:eastAsia="zh-CN"/>
        </w:rPr>
      </w:pPr>
      <w:r>
        <w:rPr>
          <w:rFonts w:hint="default" w:eastAsia="微软雅黑"/>
          <w:lang w:val="en-US" w:eastAsia="zh-CN"/>
        </w:rPr>
        <w:t xml:space="preserve">[4] </w:t>
      </w:r>
      <w:r>
        <w:rPr>
          <w:rFonts w:hint="eastAsia" w:eastAsia="微软雅黑"/>
          <w:lang w:val="en-US" w:eastAsia="zh-CN"/>
        </w:rPr>
        <w:t>EU</w:t>
      </w:r>
      <w:r>
        <w:rPr>
          <w:rFonts w:hint="default" w:eastAsia="微软雅黑"/>
          <w:lang w:val="en-US" w:eastAsia="zh-CN"/>
        </w:rPr>
        <w:t xml:space="preserve"> GDPR(General Data Protection Regulation):  </w:t>
      </w:r>
      <w:r>
        <w:rPr>
          <w:rFonts w:hint="default" w:eastAsia="微软雅黑"/>
          <w:lang w:val="en-US" w:eastAsia="zh-CN"/>
        </w:rPr>
        <w:fldChar w:fldCharType="begin"/>
      </w:r>
      <w:r>
        <w:rPr>
          <w:rFonts w:hint="default" w:eastAsia="微软雅黑"/>
          <w:lang w:val="en-US" w:eastAsia="zh-CN"/>
        </w:rPr>
        <w:instrText xml:space="preserve"> HYPERLINK "https://gdpr.eu/tag/gdpr/" </w:instrText>
      </w:r>
      <w:r>
        <w:rPr>
          <w:rFonts w:hint="default" w:eastAsia="微软雅黑"/>
          <w:lang w:val="en-US" w:eastAsia="zh-CN"/>
        </w:rPr>
        <w:fldChar w:fldCharType="separate"/>
      </w:r>
      <w:r>
        <w:rPr>
          <w:rStyle w:val="43"/>
          <w:rFonts w:hint="default" w:eastAsia="微软雅黑"/>
          <w:lang w:val="en-US" w:eastAsia="zh-CN"/>
        </w:rPr>
        <w:t>https://gdpr.eu/tag/gdpr/</w:t>
      </w:r>
      <w:r>
        <w:rPr>
          <w:rFonts w:hint="default" w:eastAsia="微软雅黑"/>
          <w:lang w:val="en-US" w:eastAsia="zh-CN"/>
        </w:rPr>
        <w:fldChar w:fldCharType="end"/>
      </w:r>
      <w:r>
        <w:rPr>
          <w:rFonts w:hint="default" w:eastAsia="微软雅黑"/>
          <w:lang w:val="en-US" w:eastAsia="zh-CN"/>
        </w:rPr>
        <w:t xml:space="preserve"> </w:t>
      </w:r>
    </w:p>
    <w:p w14:paraId="7ED61096">
      <w:pPr>
        <w:pStyle w:val="135"/>
        <w:rPr>
          <w:rFonts w:hint="default" w:eastAsia="微软雅黑"/>
          <w:lang w:val="en-US" w:eastAsia="zh-CN"/>
        </w:rPr>
      </w:pPr>
    </w:p>
    <w:p w14:paraId="6C29E54B">
      <w:pPr>
        <w:keepNext/>
        <w:keepLines/>
        <w:pBdr>
          <w:top w:val="single" w:color="auto" w:sz="12" w:space="3"/>
        </w:pBdr>
        <w:spacing w:before="240"/>
        <w:ind w:left="1134" w:hanging="1134"/>
        <w:outlineLvl w:val="0"/>
        <w:rPr>
          <w:rFonts w:hint="default" w:ascii="Arial" w:hAnsi="Arial"/>
          <w:sz w:val="36"/>
          <w:lang w:val="en-US" w:eastAsia="zh-CN"/>
        </w:rPr>
      </w:pPr>
      <w:r>
        <w:rPr>
          <w:rFonts w:ascii="Arial" w:hAnsi="Arial"/>
          <w:sz w:val="36"/>
        </w:rPr>
        <w:t>3</w:t>
      </w:r>
      <w:r>
        <w:rPr>
          <w:rFonts w:ascii="Arial" w:hAnsi="Arial"/>
          <w:sz w:val="36"/>
        </w:rPr>
        <w:tab/>
      </w:r>
      <w:r>
        <w:rPr>
          <w:rFonts w:hint="default" w:ascii="Arial" w:hAnsi="Arial"/>
          <w:sz w:val="36"/>
          <w:lang w:val="en-US"/>
        </w:rPr>
        <w:t>Background</w:t>
      </w:r>
    </w:p>
    <w:p w14:paraId="1E4E7186">
      <w:pPr>
        <w:spacing w:before="100" w:beforeAutospacing="1" w:after="100" w:afterAutospacing="1"/>
        <w:rPr>
          <w:rFonts w:hint="default" w:eastAsia="宋体"/>
          <w:sz w:val="24"/>
          <w:szCs w:val="24"/>
          <w:lang w:val="en-US" w:eastAsia="zh-CN"/>
        </w:rPr>
      </w:pPr>
      <w:r>
        <w:rPr>
          <w:rFonts w:eastAsia="Times New Roman"/>
          <w:lang w:val="en-US"/>
        </w:rPr>
        <w:t>SA</w:t>
      </w:r>
      <w:r>
        <w:rPr>
          <w:rFonts w:hint="default" w:eastAsia="Times New Roman"/>
          <w:lang w:val="en-US"/>
        </w:rPr>
        <w:t xml:space="preserve">3 </w:t>
      </w:r>
      <w:r>
        <w:rPr>
          <w:rFonts w:hint="eastAsia" w:eastAsia="宋体"/>
          <w:lang w:val="en-US" w:eastAsia="zh-CN"/>
        </w:rPr>
        <w:t>received</w:t>
      </w:r>
      <w:r>
        <w:rPr>
          <w:rFonts w:hint="default" w:eastAsia="宋体"/>
          <w:lang w:val="en-US" w:eastAsia="zh-CN"/>
        </w:rPr>
        <w:t xml:space="preserve"> the LS from RAN2 on the user consent for NW-side data collection, requesting SA3 to answer questions on whehter user consent is needed for wach option and if so, how that can be achieved. This discussion paper is </w:t>
      </w:r>
      <w:r>
        <w:rPr>
          <w:rFonts w:hint="eastAsia" w:eastAsia="宋体"/>
          <w:lang w:val="en-US" w:eastAsia="zh-CN"/>
        </w:rPr>
        <w:t>i</w:t>
      </w:r>
      <w:r>
        <w:rPr>
          <w:rFonts w:hint="default" w:eastAsia="宋体"/>
          <w:lang w:val="en-US" w:eastAsia="zh-CN"/>
        </w:rPr>
        <w:t xml:space="preserve">ntroducing the background and the proposals </w:t>
      </w:r>
      <w:r>
        <w:rPr>
          <w:rFonts w:hint="default"/>
          <w:lang w:val="en-US" w:eastAsia="zh-CN"/>
        </w:rPr>
        <w:t>for addressing the issue in a consistent manner.</w:t>
      </w:r>
    </w:p>
    <w:p w14:paraId="4265DE26">
      <w:pPr>
        <w:pStyle w:val="2"/>
      </w:pPr>
      <w:r>
        <w:t>4</w:t>
      </w:r>
      <w:r>
        <w:tab/>
      </w:r>
      <w:r>
        <w:t>D</w:t>
      </w:r>
      <w:r>
        <w:rPr>
          <w:rFonts w:hint="default"/>
          <w:lang w:val="en-US"/>
        </w:rPr>
        <w:t>iscussion</w:t>
      </w:r>
    </w:p>
    <w:p w14:paraId="590821AF">
      <w:pPr>
        <w:pStyle w:val="3"/>
        <w:rPr>
          <w:lang w:eastAsia="en-IN"/>
        </w:rPr>
      </w:pPr>
      <w:bookmarkStart w:id="1" w:name="_Toc107949223"/>
      <w:r>
        <w:rPr>
          <w:lang w:eastAsia="en-IN"/>
        </w:rPr>
        <w:t xml:space="preserve">4.1 </w:t>
      </w:r>
      <w:r>
        <w:rPr>
          <w:rFonts w:hint="default"/>
          <w:lang w:val="en-US" w:eastAsia="en-IN"/>
        </w:rPr>
        <w:tab/>
      </w:r>
      <w:r>
        <w:rPr>
          <w:rFonts w:hint="default"/>
          <w:lang w:val="en-US" w:eastAsia="en-IN"/>
        </w:rPr>
        <w:t>The agreements</w:t>
      </w:r>
      <w:r>
        <w:rPr>
          <w:rFonts w:hint="eastAsia"/>
          <w:lang w:val="en-US" w:eastAsia="zh-CN"/>
        </w:rPr>
        <w:t xml:space="preserve"> </w:t>
      </w:r>
      <w:r>
        <w:rPr>
          <w:rFonts w:hint="default"/>
          <w:lang w:val="en-US" w:eastAsia="zh-CN"/>
        </w:rPr>
        <w:t>and progress</w:t>
      </w:r>
      <w:r>
        <w:rPr>
          <w:rFonts w:hint="default"/>
          <w:lang w:val="en-US" w:eastAsia="en-IN"/>
        </w:rPr>
        <w:t xml:space="preserve"> in RAN2</w:t>
      </w:r>
      <w:r>
        <w:rPr>
          <w:lang w:eastAsia="en-IN"/>
        </w:rPr>
        <w:t xml:space="preserve"> </w:t>
      </w:r>
    </w:p>
    <w:p w14:paraId="7774093A">
      <w:pPr>
        <w:rPr>
          <w:rFonts w:hint="default"/>
          <w:lang w:val="en-US" w:eastAsia="zh-CN"/>
        </w:rPr>
      </w:pPr>
      <w:r>
        <w:rPr>
          <w:rFonts w:hint="default"/>
          <w:lang w:val="en-US" w:eastAsia="zh-CN"/>
        </w:rPr>
        <w:t>RAN2 has decided to support NW-side data collection for AI/ML PHY using a variant of immediate MDT. Two collection approaches are considered:</w:t>
      </w:r>
    </w:p>
    <w:p w14:paraId="6DDDAAFB">
      <w:pPr>
        <w:rPr>
          <w:rFonts w:hint="default"/>
          <w:lang w:val="en-US" w:eastAsia="zh-CN"/>
        </w:rPr>
      </w:pPr>
      <w:r>
        <w:rPr>
          <w:rFonts w:hint="default"/>
          <w:lang w:val="en-US" w:eastAsia="zh-CN"/>
        </w:rPr>
        <w:t>OAM-centric collection: OAM configures the gNB, which then configures the UE for measurement collection.</w:t>
      </w:r>
    </w:p>
    <w:p w14:paraId="7BBA667B">
      <w:pPr>
        <w:rPr>
          <w:rFonts w:hint="default"/>
          <w:lang w:val="en-US" w:eastAsia="zh-CN"/>
        </w:rPr>
      </w:pPr>
      <w:r>
        <w:rPr>
          <w:rFonts w:hint="default"/>
          <w:lang w:val="en-US" w:eastAsia="zh-CN"/>
        </w:rPr>
        <w:t>gNB-centric collection: gNB directly configures the UE with RRC signalling.</w:t>
      </w:r>
    </w:p>
    <w:p w14:paraId="1E3CEF53">
      <w:pPr>
        <w:rPr>
          <w:rFonts w:hint="default"/>
          <w:lang w:val="en-US" w:eastAsia="zh-CN"/>
        </w:rPr>
      </w:pPr>
      <w:r>
        <w:rPr>
          <w:rFonts w:hint="default"/>
          <w:lang w:val="en-US" w:eastAsia="zh-CN"/>
        </w:rPr>
        <w:t>For network-side data collection for beam prediction, measurement reports include the following:.</w:t>
      </w:r>
    </w:p>
    <w:p w14:paraId="43147194">
      <w:pPr>
        <w:rPr>
          <w:rFonts w:hint="default"/>
          <w:lang w:val="en-US" w:eastAsia="zh-CN"/>
        </w:rPr>
      </w:pPr>
      <w:r>
        <w:rPr>
          <w:rFonts w:hint="default"/>
          <w:lang w:val="en-US" w:eastAsia="zh-CN"/>
        </w:rPr>
        <w:t>⁻</w:t>
      </w:r>
      <w:r>
        <w:rPr>
          <w:rFonts w:hint="default"/>
          <w:lang w:val="en-US" w:eastAsia="zh-CN"/>
        </w:rPr>
        <w:tab/>
      </w:r>
      <w:r>
        <w:rPr>
          <w:rFonts w:hint="default"/>
          <w:lang w:val="en-US" w:eastAsia="zh-CN"/>
        </w:rPr>
        <w:t>Cell identity: CGI or PCI of the cell to which the measurement results are related.</w:t>
      </w:r>
    </w:p>
    <w:p w14:paraId="1CA6CB3A">
      <w:pPr>
        <w:rPr>
          <w:rFonts w:hint="default"/>
          <w:lang w:val="en-US" w:eastAsia="zh-CN"/>
        </w:rPr>
      </w:pPr>
      <w:r>
        <w:rPr>
          <w:rFonts w:hint="default"/>
          <w:lang w:val="en-US" w:eastAsia="zh-CN"/>
        </w:rPr>
        <w:t>⁻</w:t>
      </w:r>
      <w:r>
        <w:rPr>
          <w:rFonts w:hint="default"/>
          <w:lang w:val="en-US" w:eastAsia="zh-CN"/>
        </w:rPr>
        <w:tab/>
      </w:r>
      <w:r>
        <w:rPr>
          <w:rFonts w:hint="default"/>
          <w:lang w:val="en-US" w:eastAsia="zh-CN"/>
        </w:rPr>
        <w:t>Logged L1 radio measurement results including the beam identifiers associated to CSI-RS resources or SSBs (CSI-RS IDs or SSB IDs) and the corresponding measured L1-RSRPs.</w:t>
      </w:r>
    </w:p>
    <w:p w14:paraId="288C4313">
      <w:pPr>
        <w:rPr>
          <w:rFonts w:hint="default"/>
          <w:lang w:val="en-US" w:eastAsia="zh-CN"/>
        </w:rPr>
      </w:pPr>
      <w:r>
        <w:rPr>
          <w:rFonts w:hint="default"/>
          <w:lang w:val="en-US" w:eastAsia="zh-CN"/>
        </w:rPr>
        <w:t>The cell identity</w:t>
      </w:r>
      <w:r>
        <w:rPr>
          <w:rFonts w:hint="eastAsia"/>
          <w:lang w:val="en-US" w:eastAsia="zh-CN"/>
        </w:rPr>
        <w:t xml:space="preserve"> t</w:t>
      </w:r>
      <w:r>
        <w:rPr>
          <w:rFonts w:hint="default"/>
          <w:lang w:val="en-US" w:eastAsia="zh-CN"/>
        </w:rPr>
        <w:t>o be included in the measurement report is on the connecting cells and neibourgh cells (considering the AI/ML mobility). When the measurement report collection continues in some time duration, the user</w:t>
      </w:r>
      <w:r>
        <w:rPr>
          <w:rFonts w:hint="eastAsia"/>
          <w:lang w:val="en-US" w:eastAsia="zh-CN"/>
        </w:rPr>
        <w:t xml:space="preserve"> </w:t>
      </w:r>
      <w:r>
        <w:rPr>
          <w:rFonts w:hint="default"/>
          <w:lang w:val="en-US" w:eastAsia="zh-CN"/>
        </w:rPr>
        <w:t xml:space="preserve">trajectory/potential location/mobility pattern could be predicted. </w:t>
      </w:r>
    </w:p>
    <w:p w14:paraId="44BEC9FF">
      <w:pPr>
        <w:rPr>
          <w:rFonts w:hint="default"/>
          <w:lang w:val="en-US" w:eastAsia="zh-CN"/>
        </w:rPr>
      </w:pPr>
      <w:r>
        <w:rPr>
          <w:rFonts w:hint="default" w:ascii="Times New Roman Bold" w:hAnsi="Times New Roman Bold" w:cs="Times New Roman Bold"/>
          <w:b/>
          <w:bCs/>
          <w:lang w:val="en-US" w:eastAsia="zh-CN"/>
        </w:rPr>
        <w:t xml:space="preserve">Observation #1: NW-side data collection involves sensitive information, including identifiers, radio measurements, and potentially location/mobility patterns. </w:t>
      </w:r>
    </w:p>
    <w:p w14:paraId="0A354157">
      <w:pPr>
        <w:pStyle w:val="3"/>
        <w:rPr>
          <w:rFonts w:hint="default"/>
          <w:lang w:val="en-US" w:eastAsia="en-IN"/>
        </w:rPr>
      </w:pPr>
      <w:r>
        <w:rPr>
          <w:lang w:eastAsia="en-IN"/>
        </w:rPr>
        <w:t>4.</w:t>
      </w:r>
      <w:r>
        <w:rPr>
          <w:rFonts w:hint="default"/>
          <w:lang w:val="en-US" w:eastAsia="en-IN"/>
        </w:rPr>
        <w:t>2</w:t>
      </w:r>
      <w:r>
        <w:rPr>
          <w:lang w:eastAsia="en-IN"/>
        </w:rPr>
        <w:t xml:space="preserve"> </w:t>
      </w:r>
      <w:r>
        <w:rPr>
          <w:rFonts w:hint="default"/>
          <w:lang w:val="en-US" w:eastAsia="en-IN"/>
        </w:rPr>
        <w:tab/>
      </w:r>
      <w:r>
        <w:rPr>
          <w:rFonts w:hint="default"/>
          <w:lang w:val="en-US" w:eastAsia="en-IN"/>
        </w:rPr>
        <w:t>The user consent requirements</w:t>
      </w:r>
      <w:r>
        <w:rPr>
          <w:lang w:eastAsia="en-IN"/>
        </w:rPr>
        <w:t xml:space="preserve"> </w:t>
      </w:r>
      <w:r>
        <w:rPr>
          <w:rFonts w:hint="default"/>
          <w:lang w:val="en-US" w:eastAsia="en-IN"/>
        </w:rPr>
        <w:t>and mechanisms</w:t>
      </w:r>
    </w:p>
    <w:p w14:paraId="2CD38CC0">
      <w:pPr>
        <w:rPr>
          <w:rFonts w:hint="default" w:eastAsia="DengXian"/>
          <w:lang w:val="en-US" w:eastAsia="zh-CN"/>
        </w:rPr>
      </w:pPr>
      <w:r>
        <w:rPr>
          <w:rFonts w:hint="default" w:eastAsia="DengXian"/>
          <w:lang w:val="en-US" w:eastAsia="zh-CN"/>
        </w:rPr>
        <w:t xml:space="preserve">User consent collection is required when there is data collection from end users depending on the local regulations.  </w:t>
      </w:r>
    </w:p>
    <w:p w14:paraId="25365059">
      <w:pPr>
        <w:rPr>
          <w:rFonts w:hint="default" w:eastAsia="宋体"/>
          <w:lang w:val="en-US" w:eastAsia="zh-CN"/>
        </w:rPr>
      </w:pPr>
      <w:r>
        <w:rPr>
          <w:rFonts w:hint="default" w:eastAsia="宋体"/>
          <w:lang w:val="en-US" w:eastAsia="zh-CN"/>
        </w:rPr>
        <w:t xml:space="preserve">In GDPR[4], there are explicit requirements on </w:t>
      </w:r>
      <w:r>
        <w:rPr>
          <w:rFonts w:hint="eastAsia" w:eastAsia="宋体"/>
          <w:lang w:val="en-US" w:eastAsia="zh-CN"/>
        </w:rPr>
        <w:t>co</w:t>
      </w:r>
      <w:r>
        <w:rPr>
          <w:rFonts w:hint="default" w:eastAsia="宋体"/>
          <w:lang w:val="en-US" w:eastAsia="zh-CN"/>
        </w:rPr>
        <w:t xml:space="preserve">nsent collection when users’ personal data being processed. For example: Act 33 “Consent should be given by a clear affirmative act establishing a freely given, specific, informed and unambiguous indication of the data subject's agreement to the processing of personal data relating to him or her, such as by a written statement, including by electronic means, or an oral statement.”. Act 42) “In accordance with Council Directive 93/13/EEC (1) a declaration of consent preformulated by the controller should be provided in an intelligible and easily accessible form, using clear and plain language and it should not contain unfair terms. For consent to be informed, the data subject should be aware at least of the identity of the controller and the purposes of the processing for which the personal data are intended.”. </w:t>
      </w:r>
    </w:p>
    <w:p w14:paraId="29AE9910">
      <w:pPr>
        <w:rPr>
          <w:rFonts w:hint="default" w:eastAsia="宋体"/>
          <w:lang w:val="en-US" w:eastAsia="zh-CN"/>
        </w:rPr>
      </w:pPr>
      <w:r>
        <w:rPr>
          <w:rFonts w:hint="default" w:eastAsia="宋体"/>
          <w:lang w:val="en-US" w:eastAsia="zh-CN"/>
        </w:rPr>
        <w:t xml:space="preserve">The above are examples of the regulations on requesting consent of personal data collection, it doesn’t necessariliy indicate those regulations are for every region, instead, it presents the possibility and concrete examples of the regulations on user consent requirements for personal and sensitive data collection. </w:t>
      </w:r>
    </w:p>
    <w:p w14:paraId="716F8656">
      <w:pPr>
        <w:rPr>
          <w:rFonts w:hint="default" w:eastAsia="宋体"/>
          <w:lang w:val="en-US" w:eastAsia="zh-CN"/>
        </w:rPr>
      </w:pPr>
      <w:r>
        <w:rPr>
          <w:rFonts w:hint="default" w:ascii="Times New Roman Bold" w:hAnsi="Times New Roman Bold" w:cs="Times New Roman Bold"/>
          <w:b/>
          <w:bCs/>
          <w:lang w:val="en-US" w:eastAsia="zh-CN"/>
        </w:rPr>
        <w:t>Observation 2: Regulations such as the EU GDPR explicitly requests user consent for those use cases which involves the collection, storage, and processing of personal data.</w:t>
      </w:r>
    </w:p>
    <w:p w14:paraId="4E9D6AF7">
      <w:pPr>
        <w:rPr>
          <w:rFonts w:hint="default"/>
          <w:lang w:val="en-US" w:eastAsia="zh-CN"/>
        </w:rPr>
      </w:pPr>
      <w:r>
        <w:rPr>
          <w:rFonts w:hint="default" w:ascii="Times New Roman Bold" w:hAnsi="Times New Roman Bold" w:cs="Times New Roman Bold"/>
          <w:b/>
          <w:bCs/>
          <w:lang w:val="en-US" w:eastAsia="zh-CN"/>
        </w:rPr>
        <w:t xml:space="preserve">Proposal#1: Based on observation#1 and #2, </w:t>
      </w:r>
      <w:r>
        <w:rPr>
          <w:rFonts w:hint="default"/>
          <w:b/>
          <w:bCs/>
          <w:lang w:val="en-US" w:eastAsia="zh-CN"/>
        </w:rPr>
        <w:t xml:space="preserve">in NW-side data collection, user consent is required based on different regulations. </w:t>
      </w:r>
    </w:p>
    <w:p w14:paraId="4528412D">
      <w:pPr>
        <w:pStyle w:val="3"/>
        <w:rPr>
          <w:lang w:eastAsia="en-IN"/>
        </w:rPr>
      </w:pPr>
      <w:r>
        <w:rPr>
          <w:lang w:eastAsia="en-IN"/>
        </w:rPr>
        <w:t>4.</w:t>
      </w:r>
      <w:r>
        <w:rPr>
          <w:rFonts w:hint="default"/>
          <w:lang w:val="en-US" w:eastAsia="en-IN"/>
        </w:rPr>
        <w:t>3</w:t>
      </w:r>
      <w:r>
        <w:rPr>
          <w:lang w:eastAsia="en-IN"/>
        </w:rPr>
        <w:t xml:space="preserve"> </w:t>
      </w:r>
      <w:r>
        <w:rPr>
          <w:rFonts w:hint="default"/>
          <w:lang w:val="en-US" w:eastAsia="en-IN"/>
        </w:rPr>
        <w:tab/>
      </w:r>
      <w:r>
        <w:rPr>
          <w:rFonts w:hint="default"/>
          <w:lang w:val="en-US" w:eastAsia="en-IN"/>
        </w:rPr>
        <w:t>The mechanisms to be used</w:t>
      </w:r>
      <w:r>
        <w:rPr>
          <w:lang w:eastAsia="en-IN"/>
        </w:rPr>
        <w:t xml:space="preserve"> </w:t>
      </w:r>
    </w:p>
    <w:p w14:paraId="26053986">
      <w:pPr>
        <w:rPr>
          <w:rFonts w:hint="default" w:eastAsia="DengXian"/>
          <w:lang w:val="en-US" w:eastAsia="zh-CN"/>
        </w:rPr>
      </w:pPr>
      <w:r>
        <w:rPr>
          <w:rFonts w:hint="default" w:eastAsia="宋体"/>
          <w:lang w:val="en-US" w:eastAsia="zh-CN"/>
        </w:rPr>
        <w:t>In TS 33.501 Annex V, it is indicated u</w:t>
      </w:r>
      <w:r>
        <w:rPr>
          <w:lang w:eastAsia="zh-CN"/>
        </w:rPr>
        <w:t>ser consent can be required for</w:t>
      </w:r>
      <w:r>
        <w:rPr>
          <w:lang w:val="en-US" w:eastAsia="zh-CN"/>
        </w:rPr>
        <w:t xml:space="preserve"> 3GPP features depending on local regulations. The user consent related requirements and mechanism in the present document are applicable only when it is required by regional regulations or operator’s local policy, not otherwise.</w:t>
      </w:r>
      <w:r>
        <w:rPr>
          <w:rFonts w:hint="default"/>
          <w:lang w:val="en-US" w:eastAsia="zh-CN"/>
        </w:rPr>
        <w:t xml:space="preserve"> </w:t>
      </w:r>
      <w:r>
        <w:rPr>
          <w:rFonts w:eastAsia="DengXian"/>
          <w:lang w:val="en-US" w:eastAsia="zh-CN"/>
        </w:rPr>
        <w:t>In TS 23.502</w:t>
      </w:r>
      <w:r>
        <w:rPr>
          <w:rFonts w:hint="default" w:eastAsia="DengXian"/>
          <w:lang w:val="en-US" w:eastAsia="zh-CN"/>
        </w:rPr>
        <w:t xml:space="preserve"> Table 5.2.3.3.1-1</w:t>
      </w:r>
      <w:r>
        <w:rPr>
          <w:rFonts w:eastAsia="DengXian"/>
          <w:lang w:val="en-US" w:eastAsia="zh-CN"/>
        </w:rPr>
        <w:t xml:space="preserve">, user consent purposes of analytics and model training are </w:t>
      </w:r>
      <w:r>
        <w:rPr>
          <w:rFonts w:hint="default" w:eastAsia="DengXian"/>
          <w:lang w:val="en-US" w:eastAsia="zh-CN"/>
        </w:rPr>
        <w:t xml:space="preserve">listed as examples </w:t>
      </w:r>
      <w:r>
        <w:rPr>
          <w:rFonts w:eastAsia="DengXian"/>
          <w:lang w:val="en-US" w:eastAsia="zh-CN"/>
        </w:rPr>
        <w:t>as part of UE subscription data</w:t>
      </w:r>
      <w:r>
        <w:rPr>
          <w:rFonts w:hint="default" w:eastAsia="DengXian"/>
          <w:lang w:val="en-US" w:eastAsia="zh-CN"/>
        </w:rPr>
        <w:t xml:space="preserve">,  In TS 29.503, more user consent purposes are defined in Clause 6.1.6.3.20 as below. However, this list in TS 29.503 should not be taken as exhaustive since new scenarios maybe introduced in the future. </w:t>
      </w:r>
    </w:p>
    <w:p w14:paraId="23EB6BA4">
      <w:r>
        <w:drawing>
          <wp:inline distT="0" distB="0" distL="114300" distR="114300">
            <wp:extent cx="6118860" cy="1569720"/>
            <wp:effectExtent l="0" t="0" r="254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6118860" cy="1569720"/>
                    </a:xfrm>
                    <a:prstGeom prst="rect">
                      <a:avLst/>
                    </a:prstGeom>
                    <a:noFill/>
                    <a:ln>
                      <a:noFill/>
                    </a:ln>
                  </pic:spPr>
                </pic:pic>
              </a:graphicData>
            </a:graphic>
          </wp:inline>
        </w:drawing>
      </w:r>
    </w:p>
    <w:p w14:paraId="352536E7">
      <w:pPr>
        <w:rPr>
          <w:rFonts w:hint="default"/>
          <w:lang w:val="en-US" w:eastAsia="zh-CN"/>
        </w:rPr>
      </w:pPr>
      <w:r>
        <w:rPr>
          <w:rFonts w:hint="default" w:ascii="Times New Roman Bold" w:hAnsi="Times New Roman Bold" w:cs="Times New Roman Bold"/>
          <w:b/>
          <w:bCs/>
          <w:lang w:val="en-US" w:eastAsia="zh-CN"/>
        </w:rPr>
        <w:t xml:space="preserve">Observation 3: 3GPP specs define that user consent can be required for 3GPP features depending on local regulations, when it is required, the user consent storage, data purpose can follow the exisiting mechanisms. </w:t>
      </w:r>
    </w:p>
    <w:p w14:paraId="320A4B7E">
      <w:pPr>
        <w:rPr>
          <w:rFonts w:hint="default"/>
          <w:lang w:val="en-US" w:eastAsia="zh-CN"/>
        </w:rPr>
      </w:pPr>
      <w:r>
        <w:rPr>
          <w:rFonts w:hint="default"/>
          <w:lang w:val="en-US" w:eastAsia="zh-CN"/>
        </w:rPr>
        <w:t>RAN2 decided to</w:t>
      </w:r>
      <w:r>
        <w:rPr>
          <w:rFonts w:hint="eastAsia"/>
          <w:lang w:val="en-US" w:eastAsia="zh-CN"/>
        </w:rPr>
        <w:t xml:space="preserve"> support</w:t>
      </w:r>
      <w:r>
        <w:rPr>
          <w:rFonts w:hint="default"/>
          <w:lang w:val="en-US" w:eastAsia="zh-CN"/>
        </w:rPr>
        <w:t xml:space="preserve"> periodic logging for training data collection procedure in R19 and to support the use of L3 measurement event triggered(i.e. L3 serving cell measurements becoming worse/better than a threshold for TTT) to determine whether the UE performs logging or not. In TS 32.422 v19.3.0, clause </w:t>
      </w:r>
      <w:r>
        <w:rPr>
          <w:rFonts w:hint="eastAsia"/>
          <w:lang w:val="en-US" w:eastAsia="zh-CN"/>
        </w:rPr>
        <w:t xml:space="preserve">4.9 </w:t>
      </w:r>
      <w:r>
        <w:rPr>
          <w:rFonts w:hint="default"/>
          <w:lang w:val="en-US" w:eastAsia="zh-CN"/>
        </w:rPr>
        <w:t xml:space="preserve">has defined the user consent framework in MDT for NG-RAN. </w:t>
      </w:r>
      <w:r>
        <w:t>The user consent information availability should be considered as part of the subscription data and as such this shall be provisioned in the UDM database</w:t>
      </w:r>
      <w:r>
        <w:rPr>
          <w:rFonts w:hint="default"/>
          <w:lang w:val="en-US"/>
        </w:rPr>
        <w:t>, which is aligned with TS 33.501 Annex V on user consent framework. The mechanism defiend in TS 32.422 applies to both signalling based MDT and management based MDT.</w:t>
      </w:r>
    </w:p>
    <w:p w14:paraId="5E07EA53">
      <w:pPr>
        <w:rPr>
          <w:rFonts w:hint="default"/>
          <w:lang w:val="en-US" w:eastAsia="zh-CN"/>
        </w:rPr>
      </w:pPr>
      <w:r>
        <w:rPr>
          <w:rFonts w:hint="default" w:ascii="Times New Roman Bold" w:hAnsi="Times New Roman Bold" w:cs="Times New Roman Bold"/>
          <w:b/>
          <w:bCs/>
          <w:lang w:val="en-US" w:eastAsia="zh-CN"/>
        </w:rPr>
        <w:t xml:space="preserve">Observation #4: Considering the specification impacts and the consistance of addressing the same issues, it is reasonable to reuse the exisitng mechanisms. </w:t>
      </w:r>
    </w:p>
    <w:p w14:paraId="4826C9DC">
      <w:pPr>
        <w:rPr>
          <w:b/>
          <w:bCs/>
          <w:lang w:eastAsia="en-IN"/>
        </w:rPr>
      </w:pPr>
      <w:r>
        <w:rPr>
          <w:rFonts w:hint="default" w:ascii="Times New Roman Bold" w:hAnsi="Times New Roman Bold" w:cs="Times New Roman Bold"/>
          <w:b/>
          <w:bCs/>
          <w:lang w:val="en-US" w:eastAsia="zh-CN"/>
        </w:rPr>
        <w:t>Proposal #2: Based on observation#3 and #4, w</w:t>
      </w:r>
      <w:r>
        <w:rPr>
          <w:rFonts w:hint="default"/>
          <w:b/>
          <w:bCs/>
          <w:lang w:val="en-US" w:eastAsia="zh-CN"/>
        </w:rPr>
        <w:t>hen the user consent is required, it is reasonable to reuse the existing MDT consent handling framework (as specified in TS 32.422) for NW-side data collection, covering both OAM-centric and gNB-centric approaches.</w:t>
      </w:r>
    </w:p>
    <w:p w14:paraId="131ACD19">
      <w:pPr>
        <w:pStyle w:val="2"/>
        <w:rPr>
          <w:szCs w:val="36"/>
        </w:rPr>
      </w:pPr>
      <w:r>
        <w:rPr>
          <w:szCs w:val="36"/>
        </w:rPr>
        <w:t>5</w:t>
      </w:r>
      <w:r>
        <w:rPr>
          <w:szCs w:val="36"/>
        </w:rPr>
        <w:tab/>
      </w:r>
      <w:r>
        <w:rPr>
          <w:rFonts w:hint="default"/>
          <w:szCs w:val="36"/>
          <w:lang w:val="en-US"/>
        </w:rPr>
        <w:t>P</w:t>
      </w:r>
      <w:r>
        <w:rPr>
          <w:szCs w:val="36"/>
        </w:rPr>
        <w:t>roposals</w:t>
      </w:r>
      <w:bookmarkEnd w:id="1"/>
    </w:p>
    <w:p w14:paraId="063AF933">
      <w:pPr>
        <w:rPr>
          <w:rFonts w:hint="default"/>
          <w:lang w:val="en-US"/>
        </w:rPr>
      </w:pPr>
      <w:r>
        <w:t xml:space="preserve">Based on </w:t>
      </w:r>
      <w:r>
        <w:rPr>
          <w:lang w:val="en-US"/>
        </w:rPr>
        <w:t xml:space="preserve">analysis above, below </w:t>
      </w:r>
      <w:r>
        <w:rPr>
          <w:rFonts w:hint="default"/>
          <w:lang w:val="en-US"/>
        </w:rPr>
        <w:t xml:space="preserve">are the proposals: </w:t>
      </w:r>
    </w:p>
    <w:p w14:paraId="56904B3A">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#1: SA3 confirms that in NW-side data collection used for AI/ML PHY, user consent is required based on different regulations. </w:t>
      </w:r>
    </w:p>
    <w:p w14:paraId="273A5D35">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When the user consent is needed, it is reasonable to reuse the existing MDT consent handling framework (as specified in TS 32.422) for NW-side data collection, covering both OAM-centric and gNB-centric approaches.</w:t>
      </w:r>
    </w:p>
    <w:p w14:paraId="63277AA6">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#3: It is suggested SA3 sends reply to RAN2/RAN3</w:t>
      </w:r>
      <w:bookmarkStart w:id="2" w:name="_GoBack"/>
      <w:bookmarkEnd w:id="2"/>
      <w:r>
        <w:rPr>
          <w:rFonts w:hint="default" w:ascii="Times New Roman Bold" w:hAnsi="Times New Roman Bold" w:cs="Times New Roman Bold"/>
          <w:b/>
          <w:bCs/>
          <w:lang w:val="en-US" w:eastAsia="zh-CN"/>
        </w:rPr>
        <w:t xml:space="preserve"> in </w:t>
      </w:r>
      <w:r>
        <w:rPr>
          <w:rFonts w:hint="default" w:ascii="Times New Roman Bold" w:hAnsi="Times New Roman Bold" w:cs="Times New Roman Bold"/>
          <w:b/>
          <w:bCs/>
          <w:highlight w:val="yellow"/>
          <w:lang w:val="en-US" w:eastAsia="zh-CN"/>
        </w:rPr>
        <w:t>S3-253222</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502040204020203"/>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ＭＳ 明朝">
    <w:altName w:val="Hiragino Sans"/>
    <w:panose1 w:val="02020609040205080304"/>
    <w:charset w:val="80"/>
    <w:family w:val="roman"/>
    <w:pitch w:val="default"/>
    <w:sig w:usb0="00000000" w:usb1="00000000" w:usb2="08000012" w:usb3="00000000" w:csb0="0002009F" w:csb1="00000000"/>
  </w:font>
  <w:font w:name="微软雅黑">
    <w:altName w:val="汉仪旗黑"/>
    <w:panose1 w:val="020B0503020204020204"/>
    <w:charset w:val="86"/>
    <w:family w:val="swiss"/>
    <w:pitch w:val="default"/>
    <w:sig w:usb0="00000000" w:usb1="00000000" w:usb2="00000016" w:usb3="00000000" w:csb0="0004001F"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71"/>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7"/>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Mq0FAFSSqYUtAAAA"/>
    <w:docVar w:name="commondata" w:val="eyJoZGlkIjoiY2FhYmU1NGViNDhiZDEzOGIyMWU0MDZmNDk4ZmRmOWQifQ=="/>
  </w:docVars>
  <w:rsids>
    <w:rsidRoot w:val="00E30155"/>
    <w:rsid w:val="0000082A"/>
    <w:rsid w:val="0000758D"/>
    <w:rsid w:val="000113C4"/>
    <w:rsid w:val="00011E6C"/>
    <w:rsid w:val="000123AB"/>
    <w:rsid w:val="00012515"/>
    <w:rsid w:val="00016AC5"/>
    <w:rsid w:val="00017389"/>
    <w:rsid w:val="00021A9D"/>
    <w:rsid w:val="0002497E"/>
    <w:rsid w:val="00025250"/>
    <w:rsid w:val="00025526"/>
    <w:rsid w:val="00032521"/>
    <w:rsid w:val="0003364E"/>
    <w:rsid w:val="000419D4"/>
    <w:rsid w:val="00046389"/>
    <w:rsid w:val="00051CB6"/>
    <w:rsid w:val="000572B6"/>
    <w:rsid w:val="00063138"/>
    <w:rsid w:val="00070101"/>
    <w:rsid w:val="00070D9E"/>
    <w:rsid w:val="00074722"/>
    <w:rsid w:val="000758CD"/>
    <w:rsid w:val="00080BD5"/>
    <w:rsid w:val="000819D8"/>
    <w:rsid w:val="0008310C"/>
    <w:rsid w:val="00084ED9"/>
    <w:rsid w:val="00086145"/>
    <w:rsid w:val="00090F8A"/>
    <w:rsid w:val="000934A6"/>
    <w:rsid w:val="00093956"/>
    <w:rsid w:val="0009432B"/>
    <w:rsid w:val="0009446D"/>
    <w:rsid w:val="000A1844"/>
    <w:rsid w:val="000A2C6C"/>
    <w:rsid w:val="000A4660"/>
    <w:rsid w:val="000A6269"/>
    <w:rsid w:val="000A6E50"/>
    <w:rsid w:val="000A797D"/>
    <w:rsid w:val="000C1CD5"/>
    <w:rsid w:val="000C4371"/>
    <w:rsid w:val="000C7F83"/>
    <w:rsid w:val="000D1B5B"/>
    <w:rsid w:val="000D27E5"/>
    <w:rsid w:val="000D2E20"/>
    <w:rsid w:val="000D4140"/>
    <w:rsid w:val="000D6B0F"/>
    <w:rsid w:val="000E1066"/>
    <w:rsid w:val="000E1FCD"/>
    <w:rsid w:val="000F5B55"/>
    <w:rsid w:val="000F6C45"/>
    <w:rsid w:val="0010306E"/>
    <w:rsid w:val="0010401F"/>
    <w:rsid w:val="0010618C"/>
    <w:rsid w:val="0011129A"/>
    <w:rsid w:val="0011155B"/>
    <w:rsid w:val="00112865"/>
    <w:rsid w:val="00112FC3"/>
    <w:rsid w:val="0011552F"/>
    <w:rsid w:val="00116F47"/>
    <w:rsid w:val="00124C15"/>
    <w:rsid w:val="00127AB3"/>
    <w:rsid w:val="0013563B"/>
    <w:rsid w:val="00136C79"/>
    <w:rsid w:val="00137905"/>
    <w:rsid w:val="00141701"/>
    <w:rsid w:val="0014434E"/>
    <w:rsid w:val="001447B0"/>
    <w:rsid w:val="00145437"/>
    <w:rsid w:val="00145DF9"/>
    <w:rsid w:val="001571F4"/>
    <w:rsid w:val="00160A14"/>
    <w:rsid w:val="00161E5D"/>
    <w:rsid w:val="00165B9A"/>
    <w:rsid w:val="001662C0"/>
    <w:rsid w:val="00167D68"/>
    <w:rsid w:val="00173FA3"/>
    <w:rsid w:val="00177105"/>
    <w:rsid w:val="00184B6F"/>
    <w:rsid w:val="001861E5"/>
    <w:rsid w:val="0019570E"/>
    <w:rsid w:val="001A1C4B"/>
    <w:rsid w:val="001A3AE3"/>
    <w:rsid w:val="001A491C"/>
    <w:rsid w:val="001B1652"/>
    <w:rsid w:val="001B2386"/>
    <w:rsid w:val="001C3EC8"/>
    <w:rsid w:val="001C4D89"/>
    <w:rsid w:val="001D10A5"/>
    <w:rsid w:val="001D145C"/>
    <w:rsid w:val="001D2BD4"/>
    <w:rsid w:val="001D4333"/>
    <w:rsid w:val="001D59AC"/>
    <w:rsid w:val="001D654F"/>
    <w:rsid w:val="001D6911"/>
    <w:rsid w:val="001D7E16"/>
    <w:rsid w:val="001E1B89"/>
    <w:rsid w:val="001F3AA5"/>
    <w:rsid w:val="001F4EAA"/>
    <w:rsid w:val="001F6530"/>
    <w:rsid w:val="00201947"/>
    <w:rsid w:val="00201D66"/>
    <w:rsid w:val="00202FD6"/>
    <w:rsid w:val="0020395B"/>
    <w:rsid w:val="002046CB"/>
    <w:rsid w:val="00204C15"/>
    <w:rsid w:val="00204DC9"/>
    <w:rsid w:val="002062C0"/>
    <w:rsid w:val="00210817"/>
    <w:rsid w:val="002112D2"/>
    <w:rsid w:val="0021221B"/>
    <w:rsid w:val="00215130"/>
    <w:rsid w:val="00215518"/>
    <w:rsid w:val="002202A5"/>
    <w:rsid w:val="00230002"/>
    <w:rsid w:val="0023514C"/>
    <w:rsid w:val="00243645"/>
    <w:rsid w:val="00244C9A"/>
    <w:rsid w:val="00246341"/>
    <w:rsid w:val="00247216"/>
    <w:rsid w:val="00251254"/>
    <w:rsid w:val="002535F1"/>
    <w:rsid w:val="00262E14"/>
    <w:rsid w:val="00267DD9"/>
    <w:rsid w:val="00270332"/>
    <w:rsid w:val="002861EA"/>
    <w:rsid w:val="002942E3"/>
    <w:rsid w:val="002A1857"/>
    <w:rsid w:val="002A62AE"/>
    <w:rsid w:val="002B0BBC"/>
    <w:rsid w:val="002B22DB"/>
    <w:rsid w:val="002B543F"/>
    <w:rsid w:val="002B6772"/>
    <w:rsid w:val="002C7F38"/>
    <w:rsid w:val="002D7F9D"/>
    <w:rsid w:val="002E2614"/>
    <w:rsid w:val="002E5B3B"/>
    <w:rsid w:val="002E7E73"/>
    <w:rsid w:val="002F1AB9"/>
    <w:rsid w:val="002F4CCC"/>
    <w:rsid w:val="0030542C"/>
    <w:rsid w:val="0030628A"/>
    <w:rsid w:val="0031206B"/>
    <w:rsid w:val="00315D1C"/>
    <w:rsid w:val="00317AE4"/>
    <w:rsid w:val="00323F79"/>
    <w:rsid w:val="003320C2"/>
    <w:rsid w:val="003323B1"/>
    <w:rsid w:val="00333ED5"/>
    <w:rsid w:val="003352B0"/>
    <w:rsid w:val="00344F3E"/>
    <w:rsid w:val="0035122B"/>
    <w:rsid w:val="00352F7B"/>
    <w:rsid w:val="00353451"/>
    <w:rsid w:val="00353EC0"/>
    <w:rsid w:val="00357608"/>
    <w:rsid w:val="0035791B"/>
    <w:rsid w:val="00366352"/>
    <w:rsid w:val="00371032"/>
    <w:rsid w:val="00371B44"/>
    <w:rsid w:val="00371C37"/>
    <w:rsid w:val="00374299"/>
    <w:rsid w:val="0037799E"/>
    <w:rsid w:val="00380857"/>
    <w:rsid w:val="00381383"/>
    <w:rsid w:val="0038278C"/>
    <w:rsid w:val="003875BB"/>
    <w:rsid w:val="00390A1D"/>
    <w:rsid w:val="00394329"/>
    <w:rsid w:val="003A2B9B"/>
    <w:rsid w:val="003A3BE2"/>
    <w:rsid w:val="003A576D"/>
    <w:rsid w:val="003B48C3"/>
    <w:rsid w:val="003B7A3F"/>
    <w:rsid w:val="003C01E0"/>
    <w:rsid w:val="003C122B"/>
    <w:rsid w:val="003C2E76"/>
    <w:rsid w:val="003C3CA8"/>
    <w:rsid w:val="003C5A97"/>
    <w:rsid w:val="003C7A04"/>
    <w:rsid w:val="003D0C08"/>
    <w:rsid w:val="003D21AF"/>
    <w:rsid w:val="003D399D"/>
    <w:rsid w:val="003D40C7"/>
    <w:rsid w:val="003D6BBE"/>
    <w:rsid w:val="003E44D8"/>
    <w:rsid w:val="003F52B2"/>
    <w:rsid w:val="003F55DF"/>
    <w:rsid w:val="003F612D"/>
    <w:rsid w:val="00404498"/>
    <w:rsid w:val="00412810"/>
    <w:rsid w:val="0041512C"/>
    <w:rsid w:val="00421A26"/>
    <w:rsid w:val="00430A34"/>
    <w:rsid w:val="00430E7C"/>
    <w:rsid w:val="00432A25"/>
    <w:rsid w:val="00440414"/>
    <w:rsid w:val="00443F99"/>
    <w:rsid w:val="00445239"/>
    <w:rsid w:val="004469C0"/>
    <w:rsid w:val="00451AF6"/>
    <w:rsid w:val="004558E9"/>
    <w:rsid w:val="0045777E"/>
    <w:rsid w:val="00470EAB"/>
    <w:rsid w:val="00474440"/>
    <w:rsid w:val="00485FA2"/>
    <w:rsid w:val="0048635A"/>
    <w:rsid w:val="00491523"/>
    <w:rsid w:val="004948D6"/>
    <w:rsid w:val="0049598C"/>
    <w:rsid w:val="004959AC"/>
    <w:rsid w:val="00497477"/>
    <w:rsid w:val="004B0E66"/>
    <w:rsid w:val="004B3753"/>
    <w:rsid w:val="004B3B12"/>
    <w:rsid w:val="004C31D2"/>
    <w:rsid w:val="004C3D6F"/>
    <w:rsid w:val="004C3F92"/>
    <w:rsid w:val="004D55C2"/>
    <w:rsid w:val="004D6908"/>
    <w:rsid w:val="004E123E"/>
    <w:rsid w:val="004E1DF2"/>
    <w:rsid w:val="004E2AB5"/>
    <w:rsid w:val="004E4C5E"/>
    <w:rsid w:val="004F01D7"/>
    <w:rsid w:val="004F3275"/>
    <w:rsid w:val="0050157B"/>
    <w:rsid w:val="0050645D"/>
    <w:rsid w:val="00506F6A"/>
    <w:rsid w:val="00513A65"/>
    <w:rsid w:val="00514742"/>
    <w:rsid w:val="00515069"/>
    <w:rsid w:val="00521131"/>
    <w:rsid w:val="005245DD"/>
    <w:rsid w:val="00524B42"/>
    <w:rsid w:val="00527C0B"/>
    <w:rsid w:val="005304C7"/>
    <w:rsid w:val="0053422C"/>
    <w:rsid w:val="0053733F"/>
    <w:rsid w:val="005410F6"/>
    <w:rsid w:val="00547063"/>
    <w:rsid w:val="00555AAC"/>
    <w:rsid w:val="0056169B"/>
    <w:rsid w:val="00563DFC"/>
    <w:rsid w:val="00570504"/>
    <w:rsid w:val="00571AF0"/>
    <w:rsid w:val="005729C4"/>
    <w:rsid w:val="00575466"/>
    <w:rsid w:val="00582D06"/>
    <w:rsid w:val="00584358"/>
    <w:rsid w:val="0059227B"/>
    <w:rsid w:val="005A0A92"/>
    <w:rsid w:val="005A426D"/>
    <w:rsid w:val="005A7FC4"/>
    <w:rsid w:val="005B0966"/>
    <w:rsid w:val="005B4B47"/>
    <w:rsid w:val="005B795D"/>
    <w:rsid w:val="005D2931"/>
    <w:rsid w:val="005F0C43"/>
    <w:rsid w:val="0060514A"/>
    <w:rsid w:val="006055F7"/>
    <w:rsid w:val="006108BF"/>
    <w:rsid w:val="00611C66"/>
    <w:rsid w:val="00612481"/>
    <w:rsid w:val="00612898"/>
    <w:rsid w:val="00613820"/>
    <w:rsid w:val="006152C0"/>
    <w:rsid w:val="00616AB2"/>
    <w:rsid w:val="0062549F"/>
    <w:rsid w:val="00626B5D"/>
    <w:rsid w:val="00640499"/>
    <w:rsid w:val="00640739"/>
    <w:rsid w:val="006413A5"/>
    <w:rsid w:val="00647B64"/>
    <w:rsid w:val="00652248"/>
    <w:rsid w:val="006524B8"/>
    <w:rsid w:val="00655D2E"/>
    <w:rsid w:val="0065786D"/>
    <w:rsid w:val="00657B80"/>
    <w:rsid w:val="00661E74"/>
    <w:rsid w:val="00664EF2"/>
    <w:rsid w:val="00665C5D"/>
    <w:rsid w:val="0066724D"/>
    <w:rsid w:val="00667FF2"/>
    <w:rsid w:val="00673D9A"/>
    <w:rsid w:val="00675B3C"/>
    <w:rsid w:val="00684CF7"/>
    <w:rsid w:val="00687F3E"/>
    <w:rsid w:val="0069495C"/>
    <w:rsid w:val="006C0033"/>
    <w:rsid w:val="006D1F03"/>
    <w:rsid w:val="006D340A"/>
    <w:rsid w:val="006D43F1"/>
    <w:rsid w:val="006D55E5"/>
    <w:rsid w:val="006D7DB6"/>
    <w:rsid w:val="006E15F4"/>
    <w:rsid w:val="006E616A"/>
    <w:rsid w:val="006E6A3D"/>
    <w:rsid w:val="006F2F0A"/>
    <w:rsid w:val="006F3A1E"/>
    <w:rsid w:val="00703072"/>
    <w:rsid w:val="00705B4C"/>
    <w:rsid w:val="00707C42"/>
    <w:rsid w:val="0071254E"/>
    <w:rsid w:val="00715A1D"/>
    <w:rsid w:val="007355B0"/>
    <w:rsid w:val="007428F0"/>
    <w:rsid w:val="00754F7C"/>
    <w:rsid w:val="00756D30"/>
    <w:rsid w:val="00760BB0"/>
    <w:rsid w:val="0076157A"/>
    <w:rsid w:val="007616E6"/>
    <w:rsid w:val="00764853"/>
    <w:rsid w:val="0077165F"/>
    <w:rsid w:val="00772CD8"/>
    <w:rsid w:val="007766CB"/>
    <w:rsid w:val="00777DF0"/>
    <w:rsid w:val="00784593"/>
    <w:rsid w:val="00793C54"/>
    <w:rsid w:val="007A00EF"/>
    <w:rsid w:val="007A5F41"/>
    <w:rsid w:val="007B19EA"/>
    <w:rsid w:val="007B2B5D"/>
    <w:rsid w:val="007B5666"/>
    <w:rsid w:val="007C0A2D"/>
    <w:rsid w:val="007C260F"/>
    <w:rsid w:val="007C27B0"/>
    <w:rsid w:val="007D059C"/>
    <w:rsid w:val="007D3469"/>
    <w:rsid w:val="007E381B"/>
    <w:rsid w:val="007E537E"/>
    <w:rsid w:val="007E7255"/>
    <w:rsid w:val="007F05BA"/>
    <w:rsid w:val="007F300B"/>
    <w:rsid w:val="007F46F8"/>
    <w:rsid w:val="007F5722"/>
    <w:rsid w:val="008004B8"/>
    <w:rsid w:val="008014C3"/>
    <w:rsid w:val="00806486"/>
    <w:rsid w:val="00810E8E"/>
    <w:rsid w:val="00811229"/>
    <w:rsid w:val="008175DC"/>
    <w:rsid w:val="008204C7"/>
    <w:rsid w:val="00822909"/>
    <w:rsid w:val="0083194E"/>
    <w:rsid w:val="008365A5"/>
    <w:rsid w:val="008426C5"/>
    <w:rsid w:val="00844895"/>
    <w:rsid w:val="00850812"/>
    <w:rsid w:val="00852483"/>
    <w:rsid w:val="0085332E"/>
    <w:rsid w:val="00853B1F"/>
    <w:rsid w:val="00854EE2"/>
    <w:rsid w:val="0086178C"/>
    <w:rsid w:val="00867DBE"/>
    <w:rsid w:val="008729AC"/>
    <w:rsid w:val="00872E07"/>
    <w:rsid w:val="00874A78"/>
    <w:rsid w:val="00874B12"/>
    <w:rsid w:val="00876B9A"/>
    <w:rsid w:val="00876F44"/>
    <w:rsid w:val="0087749A"/>
    <w:rsid w:val="0088347A"/>
    <w:rsid w:val="008841F2"/>
    <w:rsid w:val="0088776C"/>
    <w:rsid w:val="008933BF"/>
    <w:rsid w:val="008A10C4"/>
    <w:rsid w:val="008A43DE"/>
    <w:rsid w:val="008A4DE8"/>
    <w:rsid w:val="008B0248"/>
    <w:rsid w:val="008B0969"/>
    <w:rsid w:val="008B313F"/>
    <w:rsid w:val="008B3815"/>
    <w:rsid w:val="008C17C9"/>
    <w:rsid w:val="008D0F68"/>
    <w:rsid w:val="008D1D3D"/>
    <w:rsid w:val="008D5D2F"/>
    <w:rsid w:val="008D6004"/>
    <w:rsid w:val="008F52E9"/>
    <w:rsid w:val="008F5F33"/>
    <w:rsid w:val="008F6E4B"/>
    <w:rsid w:val="008F7A14"/>
    <w:rsid w:val="008F7D8C"/>
    <w:rsid w:val="0090006F"/>
    <w:rsid w:val="00900C06"/>
    <w:rsid w:val="00902B02"/>
    <w:rsid w:val="00904811"/>
    <w:rsid w:val="00904D59"/>
    <w:rsid w:val="0091046A"/>
    <w:rsid w:val="00913CD4"/>
    <w:rsid w:val="00915425"/>
    <w:rsid w:val="00916BDB"/>
    <w:rsid w:val="00920DE6"/>
    <w:rsid w:val="009262A8"/>
    <w:rsid w:val="00926ABD"/>
    <w:rsid w:val="009279B2"/>
    <w:rsid w:val="00936243"/>
    <w:rsid w:val="00947CC8"/>
    <w:rsid w:val="00947F20"/>
    <w:rsid w:val="00947F4E"/>
    <w:rsid w:val="0095027B"/>
    <w:rsid w:val="009564A9"/>
    <w:rsid w:val="009600D2"/>
    <w:rsid w:val="00966D47"/>
    <w:rsid w:val="009744EC"/>
    <w:rsid w:val="009750AF"/>
    <w:rsid w:val="00980192"/>
    <w:rsid w:val="0098391E"/>
    <w:rsid w:val="00992312"/>
    <w:rsid w:val="00994F4E"/>
    <w:rsid w:val="00996999"/>
    <w:rsid w:val="00997918"/>
    <w:rsid w:val="009A0B20"/>
    <w:rsid w:val="009A1CB6"/>
    <w:rsid w:val="009A2A3E"/>
    <w:rsid w:val="009A56B8"/>
    <w:rsid w:val="009A6B05"/>
    <w:rsid w:val="009B3B26"/>
    <w:rsid w:val="009C0DED"/>
    <w:rsid w:val="009C1A85"/>
    <w:rsid w:val="009C20C7"/>
    <w:rsid w:val="009C43A9"/>
    <w:rsid w:val="009C4695"/>
    <w:rsid w:val="009D1DA9"/>
    <w:rsid w:val="009D38DE"/>
    <w:rsid w:val="009D5A70"/>
    <w:rsid w:val="009E133A"/>
    <w:rsid w:val="009E7245"/>
    <w:rsid w:val="00A013E6"/>
    <w:rsid w:val="00A03504"/>
    <w:rsid w:val="00A03FC0"/>
    <w:rsid w:val="00A11B36"/>
    <w:rsid w:val="00A12869"/>
    <w:rsid w:val="00A147F4"/>
    <w:rsid w:val="00A2128E"/>
    <w:rsid w:val="00A21993"/>
    <w:rsid w:val="00A22752"/>
    <w:rsid w:val="00A32237"/>
    <w:rsid w:val="00A33693"/>
    <w:rsid w:val="00A37D7F"/>
    <w:rsid w:val="00A37E48"/>
    <w:rsid w:val="00A40F43"/>
    <w:rsid w:val="00A41232"/>
    <w:rsid w:val="00A44A08"/>
    <w:rsid w:val="00A46410"/>
    <w:rsid w:val="00A47A59"/>
    <w:rsid w:val="00A5194E"/>
    <w:rsid w:val="00A5268E"/>
    <w:rsid w:val="00A54124"/>
    <w:rsid w:val="00A54402"/>
    <w:rsid w:val="00A5448F"/>
    <w:rsid w:val="00A5554F"/>
    <w:rsid w:val="00A55D8F"/>
    <w:rsid w:val="00A57688"/>
    <w:rsid w:val="00A60108"/>
    <w:rsid w:val="00A61025"/>
    <w:rsid w:val="00A61307"/>
    <w:rsid w:val="00A65869"/>
    <w:rsid w:val="00A72813"/>
    <w:rsid w:val="00A756BF"/>
    <w:rsid w:val="00A82CB8"/>
    <w:rsid w:val="00A84A94"/>
    <w:rsid w:val="00A86BF7"/>
    <w:rsid w:val="00A870DE"/>
    <w:rsid w:val="00A959C4"/>
    <w:rsid w:val="00A968BF"/>
    <w:rsid w:val="00A96B4A"/>
    <w:rsid w:val="00AA04EF"/>
    <w:rsid w:val="00AA1497"/>
    <w:rsid w:val="00AA7D5F"/>
    <w:rsid w:val="00AB14DE"/>
    <w:rsid w:val="00AC21D3"/>
    <w:rsid w:val="00AC47AD"/>
    <w:rsid w:val="00AD190E"/>
    <w:rsid w:val="00AD1DAA"/>
    <w:rsid w:val="00AD546E"/>
    <w:rsid w:val="00AE66EC"/>
    <w:rsid w:val="00AF1E23"/>
    <w:rsid w:val="00AF7F81"/>
    <w:rsid w:val="00B01AFF"/>
    <w:rsid w:val="00B04F09"/>
    <w:rsid w:val="00B05CC7"/>
    <w:rsid w:val="00B14B6A"/>
    <w:rsid w:val="00B16AE6"/>
    <w:rsid w:val="00B27E39"/>
    <w:rsid w:val="00B33EE0"/>
    <w:rsid w:val="00B350D8"/>
    <w:rsid w:val="00B363B4"/>
    <w:rsid w:val="00B5545D"/>
    <w:rsid w:val="00B67757"/>
    <w:rsid w:val="00B72527"/>
    <w:rsid w:val="00B76763"/>
    <w:rsid w:val="00B7732B"/>
    <w:rsid w:val="00B83463"/>
    <w:rsid w:val="00B879F0"/>
    <w:rsid w:val="00B964DF"/>
    <w:rsid w:val="00BA0741"/>
    <w:rsid w:val="00BA445F"/>
    <w:rsid w:val="00BA5B81"/>
    <w:rsid w:val="00BB2EE4"/>
    <w:rsid w:val="00BC0C6B"/>
    <w:rsid w:val="00BC25AA"/>
    <w:rsid w:val="00BC2CE8"/>
    <w:rsid w:val="00BC7246"/>
    <w:rsid w:val="00BC73C2"/>
    <w:rsid w:val="00BD6321"/>
    <w:rsid w:val="00BD73BA"/>
    <w:rsid w:val="00BE3B9A"/>
    <w:rsid w:val="00BF0D80"/>
    <w:rsid w:val="00BF2C84"/>
    <w:rsid w:val="00C01521"/>
    <w:rsid w:val="00C022E3"/>
    <w:rsid w:val="00C048A9"/>
    <w:rsid w:val="00C05C68"/>
    <w:rsid w:val="00C06210"/>
    <w:rsid w:val="00C12D2B"/>
    <w:rsid w:val="00C16A57"/>
    <w:rsid w:val="00C17C88"/>
    <w:rsid w:val="00C17DCC"/>
    <w:rsid w:val="00C25EA3"/>
    <w:rsid w:val="00C306F2"/>
    <w:rsid w:val="00C4394B"/>
    <w:rsid w:val="00C468E3"/>
    <w:rsid w:val="00C4712D"/>
    <w:rsid w:val="00C51E6D"/>
    <w:rsid w:val="00C555C9"/>
    <w:rsid w:val="00C6035E"/>
    <w:rsid w:val="00C61998"/>
    <w:rsid w:val="00C62448"/>
    <w:rsid w:val="00C62BC2"/>
    <w:rsid w:val="00C70122"/>
    <w:rsid w:val="00C82277"/>
    <w:rsid w:val="00C840B7"/>
    <w:rsid w:val="00C87552"/>
    <w:rsid w:val="00C9084A"/>
    <w:rsid w:val="00C94489"/>
    <w:rsid w:val="00C94F55"/>
    <w:rsid w:val="00C9683B"/>
    <w:rsid w:val="00CA3089"/>
    <w:rsid w:val="00CA7D62"/>
    <w:rsid w:val="00CB07A8"/>
    <w:rsid w:val="00CB2FDF"/>
    <w:rsid w:val="00CB5119"/>
    <w:rsid w:val="00CC3977"/>
    <w:rsid w:val="00CC70DA"/>
    <w:rsid w:val="00CD4A57"/>
    <w:rsid w:val="00CE1C5B"/>
    <w:rsid w:val="00CF3393"/>
    <w:rsid w:val="00CF66B7"/>
    <w:rsid w:val="00D0392B"/>
    <w:rsid w:val="00D06626"/>
    <w:rsid w:val="00D07CD6"/>
    <w:rsid w:val="00D11F62"/>
    <w:rsid w:val="00D15533"/>
    <w:rsid w:val="00D21C9F"/>
    <w:rsid w:val="00D26413"/>
    <w:rsid w:val="00D33604"/>
    <w:rsid w:val="00D33F33"/>
    <w:rsid w:val="00D34446"/>
    <w:rsid w:val="00D37B08"/>
    <w:rsid w:val="00D4273A"/>
    <w:rsid w:val="00D42AA1"/>
    <w:rsid w:val="00D437FF"/>
    <w:rsid w:val="00D47302"/>
    <w:rsid w:val="00D50C47"/>
    <w:rsid w:val="00D5130C"/>
    <w:rsid w:val="00D53B44"/>
    <w:rsid w:val="00D53DA0"/>
    <w:rsid w:val="00D5561C"/>
    <w:rsid w:val="00D563B2"/>
    <w:rsid w:val="00D56793"/>
    <w:rsid w:val="00D57572"/>
    <w:rsid w:val="00D61819"/>
    <w:rsid w:val="00D61AA2"/>
    <w:rsid w:val="00D62265"/>
    <w:rsid w:val="00D64503"/>
    <w:rsid w:val="00D67D25"/>
    <w:rsid w:val="00D77B05"/>
    <w:rsid w:val="00D80161"/>
    <w:rsid w:val="00D8512E"/>
    <w:rsid w:val="00DA1E58"/>
    <w:rsid w:val="00DA29BE"/>
    <w:rsid w:val="00DA5E30"/>
    <w:rsid w:val="00DA7002"/>
    <w:rsid w:val="00DB18C5"/>
    <w:rsid w:val="00DB21DB"/>
    <w:rsid w:val="00DC55EC"/>
    <w:rsid w:val="00DD11C0"/>
    <w:rsid w:val="00DD1DCA"/>
    <w:rsid w:val="00DD2A0F"/>
    <w:rsid w:val="00DD6F7E"/>
    <w:rsid w:val="00DE2B85"/>
    <w:rsid w:val="00DE4EF2"/>
    <w:rsid w:val="00DE6DEE"/>
    <w:rsid w:val="00DF0967"/>
    <w:rsid w:val="00DF2C0E"/>
    <w:rsid w:val="00E03586"/>
    <w:rsid w:val="00E04DB6"/>
    <w:rsid w:val="00E06FFB"/>
    <w:rsid w:val="00E12024"/>
    <w:rsid w:val="00E123A9"/>
    <w:rsid w:val="00E14051"/>
    <w:rsid w:val="00E26AE1"/>
    <w:rsid w:val="00E30155"/>
    <w:rsid w:val="00E35268"/>
    <w:rsid w:val="00E410FA"/>
    <w:rsid w:val="00E412A4"/>
    <w:rsid w:val="00E422AF"/>
    <w:rsid w:val="00E4405A"/>
    <w:rsid w:val="00E55BB5"/>
    <w:rsid w:val="00E610CF"/>
    <w:rsid w:val="00E70454"/>
    <w:rsid w:val="00E7047E"/>
    <w:rsid w:val="00E84AAC"/>
    <w:rsid w:val="00E91FE1"/>
    <w:rsid w:val="00E94349"/>
    <w:rsid w:val="00E96F3B"/>
    <w:rsid w:val="00EA0E5E"/>
    <w:rsid w:val="00EA1B9C"/>
    <w:rsid w:val="00EA27E3"/>
    <w:rsid w:val="00EA5E95"/>
    <w:rsid w:val="00EB1CF6"/>
    <w:rsid w:val="00EB2373"/>
    <w:rsid w:val="00EB4A74"/>
    <w:rsid w:val="00EB6331"/>
    <w:rsid w:val="00EC4E46"/>
    <w:rsid w:val="00EC797C"/>
    <w:rsid w:val="00EC7C88"/>
    <w:rsid w:val="00ED2A5C"/>
    <w:rsid w:val="00ED450C"/>
    <w:rsid w:val="00ED4954"/>
    <w:rsid w:val="00EE0943"/>
    <w:rsid w:val="00EE33A2"/>
    <w:rsid w:val="00EF44DC"/>
    <w:rsid w:val="00EF741C"/>
    <w:rsid w:val="00F02669"/>
    <w:rsid w:val="00F0643B"/>
    <w:rsid w:val="00F1329A"/>
    <w:rsid w:val="00F133DF"/>
    <w:rsid w:val="00F1552E"/>
    <w:rsid w:val="00F21F51"/>
    <w:rsid w:val="00F22013"/>
    <w:rsid w:val="00F236A2"/>
    <w:rsid w:val="00F25FC7"/>
    <w:rsid w:val="00F262ED"/>
    <w:rsid w:val="00F27913"/>
    <w:rsid w:val="00F3384C"/>
    <w:rsid w:val="00F4400D"/>
    <w:rsid w:val="00F4437F"/>
    <w:rsid w:val="00F44F50"/>
    <w:rsid w:val="00F52B74"/>
    <w:rsid w:val="00F61F07"/>
    <w:rsid w:val="00F62D19"/>
    <w:rsid w:val="00F6426B"/>
    <w:rsid w:val="00F64391"/>
    <w:rsid w:val="00F6648D"/>
    <w:rsid w:val="00F6728A"/>
    <w:rsid w:val="00F67A1C"/>
    <w:rsid w:val="00F80F9B"/>
    <w:rsid w:val="00F82C5B"/>
    <w:rsid w:val="00F8555F"/>
    <w:rsid w:val="00F91EFE"/>
    <w:rsid w:val="00FC3C2E"/>
    <w:rsid w:val="00FC3D37"/>
    <w:rsid w:val="00FC4798"/>
    <w:rsid w:val="00FD1A93"/>
    <w:rsid w:val="00FD39C3"/>
    <w:rsid w:val="00FD6542"/>
    <w:rsid w:val="00FD7211"/>
    <w:rsid w:val="00FF0D2E"/>
    <w:rsid w:val="00FF0EFC"/>
    <w:rsid w:val="00FF1276"/>
    <w:rsid w:val="00FF7558"/>
    <w:rsid w:val="04FBD5A4"/>
    <w:rsid w:val="0DFF557B"/>
    <w:rsid w:val="1FDFDE05"/>
    <w:rsid w:val="1FFFA3D9"/>
    <w:rsid w:val="2B324E98"/>
    <w:rsid w:val="35EE6029"/>
    <w:rsid w:val="37F3A4D7"/>
    <w:rsid w:val="382D5E58"/>
    <w:rsid w:val="38B92508"/>
    <w:rsid w:val="3BBDFF16"/>
    <w:rsid w:val="3DDF46D0"/>
    <w:rsid w:val="4FF76505"/>
    <w:rsid w:val="572A23E4"/>
    <w:rsid w:val="5A5F3A56"/>
    <w:rsid w:val="5C7B1812"/>
    <w:rsid w:val="5E7F82C1"/>
    <w:rsid w:val="63574E7D"/>
    <w:rsid w:val="67BF6824"/>
    <w:rsid w:val="6DAB400E"/>
    <w:rsid w:val="6EFBE8BA"/>
    <w:rsid w:val="6FBDA775"/>
    <w:rsid w:val="7163E471"/>
    <w:rsid w:val="7172D9BD"/>
    <w:rsid w:val="74FD628C"/>
    <w:rsid w:val="75BDF23E"/>
    <w:rsid w:val="763E36CD"/>
    <w:rsid w:val="76BB7451"/>
    <w:rsid w:val="77BFBBA1"/>
    <w:rsid w:val="77D797C5"/>
    <w:rsid w:val="77F5054E"/>
    <w:rsid w:val="77F8DF54"/>
    <w:rsid w:val="797BADA0"/>
    <w:rsid w:val="7BBF5532"/>
    <w:rsid w:val="7D0211B1"/>
    <w:rsid w:val="7EFDAE94"/>
    <w:rsid w:val="7EFF18B6"/>
    <w:rsid w:val="7F658916"/>
    <w:rsid w:val="7F7FEEBB"/>
    <w:rsid w:val="7FEA9B5E"/>
    <w:rsid w:val="7FF388EF"/>
    <w:rsid w:val="7FFDDFCA"/>
    <w:rsid w:val="7FFF8D72"/>
    <w:rsid w:val="8FDFEBBC"/>
    <w:rsid w:val="97ED4C23"/>
    <w:rsid w:val="9FFFAFB5"/>
    <w:rsid w:val="A5EFECFC"/>
    <w:rsid w:val="AE5A1A12"/>
    <w:rsid w:val="AE7DFD29"/>
    <w:rsid w:val="AF8D3F7E"/>
    <w:rsid w:val="AFA9B250"/>
    <w:rsid w:val="B73D975E"/>
    <w:rsid w:val="BBCD6F99"/>
    <w:rsid w:val="BF1E29FD"/>
    <w:rsid w:val="CEF88893"/>
    <w:rsid w:val="DA752587"/>
    <w:rsid w:val="DD979022"/>
    <w:rsid w:val="DFBF56A1"/>
    <w:rsid w:val="DFDF1ABE"/>
    <w:rsid w:val="DFFE06BD"/>
    <w:rsid w:val="ECFE2EE5"/>
    <w:rsid w:val="EDDF05BC"/>
    <w:rsid w:val="EDFC9225"/>
    <w:rsid w:val="EF9FA2F1"/>
    <w:rsid w:val="EFFF88F8"/>
    <w:rsid w:val="F45FB05D"/>
    <w:rsid w:val="F5BD7B9A"/>
    <w:rsid w:val="F7BF1B3B"/>
    <w:rsid w:val="F95F8381"/>
    <w:rsid w:val="F9F7F269"/>
    <w:rsid w:val="FBBF3DB0"/>
    <w:rsid w:val="FBE746B3"/>
    <w:rsid w:val="FBFB5D22"/>
    <w:rsid w:val="FC673A31"/>
    <w:rsid w:val="FDB7BE0B"/>
    <w:rsid w:val="FDFE23F4"/>
    <w:rsid w:val="FEEF1DB6"/>
    <w:rsid w:val="FEF72124"/>
    <w:rsid w:val="FFEFE660"/>
    <w:rsid w:val="FFFE28A3"/>
  </w:rsids>
  <m:mathPr>
    <m:mathFont m:val="Cambria Math"/>
    <m:brkBin m:val="before"/>
    <m:brkBinSub m:val="--"/>
    <m:smallFrac m:val="0"/>
    <m:dispDef/>
    <m:lMargin m:val="0"/>
    <m:rMargin m:val="0"/>
    <m:defJc m:val="centerGroup"/>
    <m:wrapIndent m:val="1440"/>
    <m:intLim m:val="subSup"/>
    <m:naryLim m:val="undOvr"/>
  </m:mathPr>
  <w:themeFontLang w:val="en-IN" w:eastAsia="zh-CN" w:bidi="ml-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8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85"/>
    <w:qFormat/>
    <w:uiPriority w:val="0"/>
    <w:pPr>
      <w:pBdr>
        <w:top w:val="none" w:color="auto" w:sz="0" w:space="0"/>
      </w:pBdr>
      <w:spacing w:before="180"/>
      <w:outlineLvl w:val="1"/>
    </w:pPr>
    <w:rPr>
      <w:sz w:val="32"/>
    </w:rPr>
  </w:style>
  <w:style w:type="paragraph" w:styleId="4">
    <w:name w:val="heading 3"/>
    <w:basedOn w:val="3"/>
    <w:next w:val="1"/>
    <w:link w:val="182"/>
    <w:qFormat/>
    <w:uiPriority w:val="0"/>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8"/>
    <w:uiPriority w:val="0"/>
    <w:pPr>
      <w:spacing w:after="120"/>
    </w:pPr>
  </w:style>
  <w:style w:type="paragraph" w:styleId="17">
    <w:name w:val="Body Text 2"/>
    <w:basedOn w:val="1"/>
    <w:link w:val="139"/>
    <w:uiPriority w:val="0"/>
    <w:pPr>
      <w:spacing w:after="120" w:line="480" w:lineRule="auto"/>
    </w:pPr>
  </w:style>
  <w:style w:type="paragraph" w:styleId="18">
    <w:name w:val="Body Text 3"/>
    <w:basedOn w:val="1"/>
    <w:link w:val="140"/>
    <w:uiPriority w:val="0"/>
    <w:pPr>
      <w:spacing w:after="120"/>
    </w:pPr>
    <w:rPr>
      <w:sz w:val="16"/>
      <w:szCs w:val="16"/>
    </w:rPr>
  </w:style>
  <w:style w:type="paragraph" w:styleId="19">
    <w:name w:val="Body Text First Indent"/>
    <w:basedOn w:val="16"/>
    <w:link w:val="141"/>
    <w:uiPriority w:val="0"/>
    <w:pPr>
      <w:ind w:firstLine="210"/>
    </w:pPr>
  </w:style>
  <w:style w:type="paragraph" w:styleId="20">
    <w:name w:val="Body Text Indent"/>
    <w:basedOn w:val="1"/>
    <w:link w:val="142"/>
    <w:uiPriority w:val="0"/>
    <w:pPr>
      <w:spacing w:after="120"/>
      <w:ind w:left="283"/>
    </w:pPr>
  </w:style>
  <w:style w:type="paragraph" w:styleId="21">
    <w:name w:val="Body Text First Indent 2"/>
    <w:basedOn w:val="20"/>
    <w:link w:val="143"/>
    <w:uiPriority w:val="0"/>
    <w:pPr>
      <w:ind w:firstLine="210"/>
    </w:pPr>
  </w:style>
  <w:style w:type="paragraph" w:styleId="22">
    <w:name w:val="Body Text Indent 2"/>
    <w:basedOn w:val="1"/>
    <w:link w:val="144"/>
    <w:uiPriority w:val="0"/>
    <w:pPr>
      <w:spacing w:after="120" w:line="480" w:lineRule="auto"/>
      <w:ind w:left="283"/>
    </w:pPr>
  </w:style>
  <w:style w:type="paragraph" w:styleId="23">
    <w:name w:val="Body Text Indent 3"/>
    <w:basedOn w:val="1"/>
    <w:link w:val="145"/>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6"/>
    <w:uiPriority w:val="0"/>
    <w:pPr>
      <w:ind w:left="4252"/>
    </w:pPr>
  </w:style>
  <w:style w:type="character" w:styleId="26">
    <w:name w:val="annotation reference"/>
    <w:semiHidden/>
    <w:uiPriority w:val="99"/>
    <w:rPr>
      <w:sz w:val="16"/>
    </w:rPr>
  </w:style>
  <w:style w:type="paragraph" w:styleId="27">
    <w:name w:val="annotation text"/>
    <w:basedOn w:val="1"/>
    <w:link w:val="147"/>
    <w:uiPriority w:val="99"/>
  </w:style>
  <w:style w:type="paragraph" w:styleId="28">
    <w:name w:val="annotation subject"/>
    <w:basedOn w:val="27"/>
    <w:next w:val="27"/>
    <w:link w:val="148"/>
    <w:uiPriority w:val="0"/>
    <w:rPr>
      <w:b/>
      <w:bCs/>
    </w:rPr>
  </w:style>
  <w:style w:type="paragraph" w:styleId="29">
    <w:name w:val="Date"/>
    <w:basedOn w:val="1"/>
    <w:next w:val="1"/>
    <w:link w:val="149"/>
    <w:uiPriority w:val="0"/>
  </w:style>
  <w:style w:type="paragraph" w:styleId="30">
    <w:name w:val="Document Map"/>
    <w:basedOn w:val="1"/>
    <w:link w:val="150"/>
    <w:uiPriority w:val="0"/>
    <w:rPr>
      <w:rFonts w:ascii="Segoe UI" w:hAnsi="Segoe UI" w:cs="Segoe UI"/>
      <w:sz w:val="16"/>
      <w:szCs w:val="16"/>
    </w:rPr>
  </w:style>
  <w:style w:type="paragraph" w:styleId="31">
    <w:name w:val="E-mail Signature"/>
    <w:basedOn w:val="1"/>
    <w:link w:val="151"/>
    <w:uiPriority w:val="0"/>
  </w:style>
  <w:style w:type="character" w:styleId="32">
    <w:name w:val="Emphasis"/>
    <w:qFormat/>
    <w:uiPriority w:val="20"/>
    <w:rPr>
      <w:i/>
      <w:iCs/>
    </w:rPr>
  </w:style>
  <w:style w:type="paragraph" w:styleId="33">
    <w:name w:val="endnote text"/>
    <w:basedOn w:val="1"/>
    <w:link w:val="152"/>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6"/>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3"/>
    <w:uiPriority w:val="0"/>
    <w:rPr>
      <w:i/>
      <w:iCs/>
    </w:rPr>
  </w:style>
  <w:style w:type="paragraph" w:styleId="42">
    <w:name w:val="HTML Preformatted"/>
    <w:basedOn w:val="1"/>
    <w:link w:val="154"/>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8"/>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9"/>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uiPriority w:val="99"/>
    <w:pPr>
      <w:spacing w:before="0" w:beforeAutospacing="1" w:after="0" w:afterAutospacing="1"/>
      <w:ind w:left="0" w:right="0"/>
      <w:jc w:val="left"/>
    </w:pPr>
    <w:rPr>
      <w:rFonts w:ascii="Times New Roman" w:hAnsi="Times New Roman" w:eastAsia="宋体" w:cs="Times New Roman"/>
      <w:kern w:val="0"/>
      <w:sz w:val="24"/>
      <w:szCs w:val="24"/>
      <w:lang w:val="en-US" w:eastAsia="zh-CN" w:bidi="ar"/>
    </w:rPr>
  </w:style>
  <w:style w:type="paragraph" w:styleId="77">
    <w:name w:val="Normal Indent"/>
    <w:basedOn w:val="1"/>
    <w:uiPriority w:val="0"/>
    <w:pPr>
      <w:ind w:left="720"/>
    </w:pPr>
  </w:style>
  <w:style w:type="paragraph" w:styleId="78">
    <w:name w:val="Note Heading"/>
    <w:basedOn w:val="1"/>
    <w:next w:val="1"/>
    <w:link w:val="161"/>
    <w:uiPriority w:val="0"/>
  </w:style>
  <w:style w:type="paragraph" w:styleId="79">
    <w:name w:val="Plain Text"/>
    <w:basedOn w:val="1"/>
    <w:link w:val="162"/>
    <w:uiPriority w:val="0"/>
    <w:rPr>
      <w:rFonts w:ascii="Courier New" w:hAnsi="Courier New" w:cs="Courier New"/>
    </w:rPr>
  </w:style>
  <w:style w:type="paragraph" w:styleId="80">
    <w:name w:val="Salutation"/>
    <w:basedOn w:val="1"/>
    <w:next w:val="1"/>
    <w:link w:val="165"/>
    <w:uiPriority w:val="0"/>
  </w:style>
  <w:style w:type="paragraph" w:styleId="81">
    <w:name w:val="Signature"/>
    <w:basedOn w:val="1"/>
    <w:link w:val="166"/>
    <w:uiPriority w:val="0"/>
    <w:pPr>
      <w:ind w:left="4252"/>
    </w:pPr>
  </w:style>
  <w:style w:type="character" w:styleId="82">
    <w:name w:val="Strong"/>
    <w:qFormat/>
    <w:uiPriority w:val="22"/>
    <w:rPr>
      <w:b/>
      <w:bCs/>
    </w:rPr>
  </w:style>
  <w:style w:type="paragraph" w:styleId="83">
    <w:name w:val="Subtitle"/>
    <w:basedOn w:val="1"/>
    <w:next w:val="1"/>
    <w:link w:val="167"/>
    <w:qFormat/>
    <w:uiPriority w:val="0"/>
    <w:pPr>
      <w:spacing w:after="60"/>
      <w:jc w:val="center"/>
      <w:outlineLvl w:val="1"/>
    </w:pPr>
    <w:rPr>
      <w:rFonts w:ascii="Calibri Light" w:hAnsi="Calibri Light" w:eastAsia="Times New Roman"/>
      <w:sz w:val="24"/>
      <w:szCs w:val="24"/>
    </w:rPr>
  </w:style>
  <w:style w:type="table" w:styleId="84">
    <w:name w:val="Table Grid"/>
    <w:basedOn w:val="1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5">
    <w:name w:val="table of authorities"/>
    <w:basedOn w:val="1"/>
    <w:next w:val="1"/>
    <w:uiPriority w:val="0"/>
    <w:pPr>
      <w:ind w:left="200" w:hanging="200"/>
    </w:pPr>
  </w:style>
  <w:style w:type="paragraph" w:styleId="86">
    <w:name w:val="table of figures"/>
    <w:basedOn w:val="1"/>
    <w:next w:val="1"/>
    <w:uiPriority w:val="0"/>
  </w:style>
  <w:style w:type="paragraph" w:styleId="87">
    <w:name w:val="Title"/>
    <w:basedOn w:val="1"/>
    <w:next w:val="1"/>
    <w:link w:val="168"/>
    <w:qFormat/>
    <w:uiPriority w:val="0"/>
    <w:pPr>
      <w:spacing w:before="240" w:after="60"/>
      <w:jc w:val="center"/>
      <w:outlineLvl w:val="0"/>
    </w:pPr>
    <w:rPr>
      <w:rFonts w:ascii="Calibri Light" w:hAnsi="Calibri Light" w:eastAsia="Times New Roman"/>
      <w:b/>
      <w:bCs/>
      <w:kern w:val="28"/>
      <w:sz w:val="32"/>
      <w:szCs w:val="32"/>
    </w:rPr>
  </w:style>
  <w:style w:type="paragraph" w:styleId="88">
    <w:name w:val="toa heading"/>
    <w:basedOn w:val="1"/>
    <w:next w:val="1"/>
    <w:uiPriority w:val="0"/>
    <w:pPr>
      <w:spacing w:before="120"/>
    </w:pPr>
    <w:rPr>
      <w:rFonts w:ascii="Calibri Light" w:hAnsi="Calibri Light" w:eastAsia="Times New Roman"/>
      <w:b/>
      <w:bCs/>
      <w:sz w:val="24"/>
      <w:szCs w:val="24"/>
    </w:rPr>
  </w:style>
  <w:style w:type="paragraph" w:styleId="8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90">
    <w:name w:val="toc 2"/>
    <w:basedOn w:val="89"/>
    <w:semiHidden/>
    <w:uiPriority w:val="0"/>
    <w:pPr>
      <w:keepNext w:val="0"/>
      <w:spacing w:before="0"/>
      <w:ind w:left="851" w:hanging="851"/>
    </w:pPr>
    <w:rPr>
      <w:sz w:val="20"/>
    </w:rPr>
  </w:style>
  <w:style w:type="paragraph" w:styleId="91">
    <w:name w:val="toc 3"/>
    <w:basedOn w:val="90"/>
    <w:semiHidden/>
    <w:uiPriority w:val="0"/>
    <w:pPr>
      <w:ind w:left="1134" w:hanging="1134"/>
    </w:pPr>
  </w:style>
  <w:style w:type="paragraph" w:styleId="92">
    <w:name w:val="toc 4"/>
    <w:basedOn w:val="91"/>
    <w:semiHidden/>
    <w:uiPriority w:val="0"/>
    <w:pPr>
      <w:ind w:left="1418" w:hanging="1418"/>
    </w:pPr>
  </w:style>
  <w:style w:type="paragraph" w:styleId="93">
    <w:name w:val="toc 5"/>
    <w:basedOn w:val="92"/>
    <w:semiHidden/>
    <w:uiPriority w:val="0"/>
    <w:pPr>
      <w:ind w:left="1701" w:hanging="1701"/>
    </w:pPr>
  </w:style>
  <w:style w:type="paragraph" w:styleId="94">
    <w:name w:val="toc 6"/>
    <w:basedOn w:val="93"/>
    <w:next w:val="1"/>
    <w:semiHidden/>
    <w:uiPriority w:val="0"/>
    <w:pPr>
      <w:ind w:left="1985" w:hanging="1985"/>
    </w:pPr>
  </w:style>
  <w:style w:type="paragraph" w:styleId="95">
    <w:name w:val="toc 7"/>
    <w:basedOn w:val="94"/>
    <w:next w:val="1"/>
    <w:semiHidden/>
    <w:uiPriority w:val="0"/>
    <w:pPr>
      <w:ind w:left="2268" w:hanging="2268"/>
    </w:pPr>
  </w:style>
  <w:style w:type="paragraph" w:styleId="96">
    <w:name w:val="toc 8"/>
    <w:basedOn w:val="89"/>
    <w:semiHidden/>
    <w:uiPriority w:val="0"/>
    <w:pPr>
      <w:spacing w:before="180"/>
      <w:ind w:left="2693" w:hanging="2693"/>
    </w:pPr>
    <w:rPr>
      <w:b/>
    </w:rPr>
  </w:style>
  <w:style w:type="paragraph" w:styleId="97">
    <w:name w:val="toc 9"/>
    <w:basedOn w:val="96"/>
    <w:semiHidden/>
    <w:uiPriority w:val="0"/>
    <w:pPr>
      <w:ind w:left="1418" w:hanging="1418"/>
    </w:pPr>
  </w:style>
  <w:style w:type="paragraph" w:customStyle="1" w:styleId="9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2"/>
    <w:next w:val="1"/>
    <w:uiPriority w:val="0"/>
    <w:pPr>
      <w:outlineLvl w:val="9"/>
    </w:pPr>
  </w:style>
  <w:style w:type="paragraph" w:customStyle="1" w:styleId="101">
    <w:name w:val="TAH"/>
    <w:basedOn w:val="102"/>
    <w:link w:val="190"/>
    <w:qFormat/>
    <w:uiPriority w:val="0"/>
    <w:rPr>
      <w:b/>
    </w:rPr>
  </w:style>
  <w:style w:type="paragraph" w:customStyle="1" w:styleId="102">
    <w:name w:val="TAC"/>
    <w:basedOn w:val="103"/>
    <w:link w:val="192"/>
    <w:qFormat/>
    <w:uiPriority w:val="0"/>
    <w:pPr>
      <w:jc w:val="center"/>
    </w:pPr>
  </w:style>
  <w:style w:type="paragraph" w:customStyle="1" w:styleId="103">
    <w:name w:val="TAL"/>
    <w:basedOn w:val="1"/>
    <w:link w:val="191"/>
    <w:qFormat/>
    <w:uiPriority w:val="0"/>
    <w:pPr>
      <w:keepNext/>
      <w:keepLines/>
      <w:spacing w:after="0"/>
    </w:pPr>
    <w:rPr>
      <w:rFonts w:ascii="Arial" w:hAnsi="Arial"/>
      <w:sz w:val="18"/>
    </w:rPr>
  </w:style>
  <w:style w:type="paragraph" w:customStyle="1" w:styleId="104">
    <w:name w:val="TF"/>
    <w:basedOn w:val="105"/>
    <w:link w:val="174"/>
    <w:qFormat/>
    <w:uiPriority w:val="0"/>
    <w:pPr>
      <w:keepNext w:val="0"/>
      <w:spacing w:before="0" w:after="240"/>
    </w:pPr>
  </w:style>
  <w:style w:type="paragraph" w:customStyle="1" w:styleId="105">
    <w:name w:val="TH"/>
    <w:basedOn w:val="1"/>
    <w:link w:val="189"/>
    <w:qFormat/>
    <w:uiPriority w:val="0"/>
    <w:pPr>
      <w:keepNext/>
      <w:keepLines/>
      <w:spacing w:before="60"/>
      <w:jc w:val="center"/>
    </w:pPr>
    <w:rPr>
      <w:rFonts w:ascii="Arial" w:hAnsi="Arial"/>
      <w:b/>
    </w:rPr>
  </w:style>
  <w:style w:type="paragraph" w:customStyle="1" w:styleId="106">
    <w:name w:val="NO"/>
    <w:basedOn w:val="1"/>
    <w:link w:val="178"/>
    <w:uiPriority w:val="0"/>
    <w:pPr>
      <w:keepLines/>
      <w:ind w:left="1135" w:hanging="851"/>
    </w:pPr>
  </w:style>
  <w:style w:type="paragraph" w:customStyle="1" w:styleId="107">
    <w:name w:val="EX"/>
    <w:basedOn w:val="1"/>
    <w:link w:val="179"/>
    <w:uiPriority w:val="0"/>
    <w:pPr>
      <w:keepLines/>
      <w:ind w:left="1702" w:hanging="1418"/>
    </w:pPr>
  </w:style>
  <w:style w:type="paragraph" w:customStyle="1" w:styleId="108">
    <w:name w:val="FP"/>
    <w:basedOn w:val="1"/>
    <w:uiPriority w:val="0"/>
    <w:pPr>
      <w:spacing w:after="0"/>
    </w:pPr>
  </w:style>
  <w:style w:type="paragraph" w:customStyle="1" w:styleId="109">
    <w:name w:val="LD"/>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uiPriority w:val="0"/>
    <w:pPr>
      <w:spacing w:after="0"/>
    </w:pPr>
  </w:style>
  <w:style w:type="paragraph" w:customStyle="1" w:styleId="111">
    <w:name w:val="EW"/>
    <w:basedOn w:val="107"/>
    <w:uiPriority w:val="0"/>
    <w:pPr>
      <w:spacing w:after="0"/>
    </w:pPr>
  </w:style>
  <w:style w:type="paragraph" w:customStyle="1" w:styleId="112">
    <w:name w:val="EQ"/>
    <w:basedOn w:val="1"/>
    <w:next w:val="1"/>
    <w:uiPriority w:val="0"/>
    <w:pPr>
      <w:keepLines/>
      <w:tabs>
        <w:tab w:val="center" w:pos="4536"/>
        <w:tab w:val="right" w:pos="9072"/>
      </w:tabs>
    </w:pPr>
  </w:style>
  <w:style w:type="paragraph" w:customStyle="1" w:styleId="113">
    <w:name w:val="NF"/>
    <w:basedOn w:val="106"/>
    <w:uiPriority w:val="0"/>
    <w:pPr>
      <w:keepNext/>
      <w:spacing w:after="0"/>
    </w:pPr>
    <w:rPr>
      <w:rFonts w:ascii="Arial" w:hAnsi="Arial"/>
      <w:sz w:val="18"/>
    </w:rPr>
  </w:style>
  <w:style w:type="paragraph" w:customStyle="1" w:styleId="11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uiPriority w:val="0"/>
    <w:pPr>
      <w:jc w:val="right"/>
    </w:pPr>
  </w:style>
  <w:style w:type="paragraph" w:customStyle="1" w:styleId="116">
    <w:name w:val="TAN"/>
    <w:basedOn w:val="103"/>
    <w:uiPriority w:val="0"/>
    <w:pPr>
      <w:ind w:left="851" w:hanging="851"/>
    </w:pPr>
  </w:style>
  <w:style w:type="paragraph" w:customStyle="1" w:styleId="11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uiPriority w:val="0"/>
    <w:pPr>
      <w:framePr w:y="16161"/>
    </w:pPr>
  </w:style>
  <w:style w:type="character" w:customStyle="1" w:styleId="122">
    <w:name w:val="ZGSM"/>
    <w:uiPriority w:val="0"/>
  </w:style>
  <w:style w:type="paragraph" w:customStyle="1" w:styleId="12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81"/>
    <w:qFormat/>
    <w:uiPriority w:val="0"/>
    <w:rPr>
      <w:color w:val="FF0000"/>
    </w:rPr>
  </w:style>
  <w:style w:type="paragraph" w:customStyle="1" w:styleId="125">
    <w:name w:val="B1"/>
    <w:basedOn w:val="54"/>
    <w:link w:val="180"/>
    <w:qFormat/>
    <w:uiPriority w:val="0"/>
  </w:style>
  <w:style w:type="paragraph" w:customStyle="1" w:styleId="126">
    <w:name w:val="B2"/>
    <w:basedOn w:val="55"/>
    <w:link w:val="194"/>
    <w:uiPriority w:val="0"/>
  </w:style>
  <w:style w:type="paragraph" w:customStyle="1" w:styleId="127">
    <w:name w:val="B3"/>
    <w:basedOn w:val="56"/>
    <w:uiPriority w:val="0"/>
  </w:style>
  <w:style w:type="paragraph" w:customStyle="1" w:styleId="128">
    <w:name w:val="B4"/>
    <w:basedOn w:val="57"/>
    <w:uiPriority w:val="0"/>
  </w:style>
  <w:style w:type="paragraph" w:customStyle="1" w:styleId="129">
    <w:name w:val="B5"/>
    <w:basedOn w:val="58"/>
    <w:uiPriority w:val="0"/>
  </w:style>
  <w:style w:type="paragraph" w:customStyle="1" w:styleId="130">
    <w:name w:val="ZTD"/>
    <w:basedOn w:val="118"/>
    <w:uiPriority w:val="0"/>
    <w:pPr>
      <w:framePr w:hRule="auto" w:y="852"/>
    </w:pPr>
    <w:rPr>
      <w:i w:val="0"/>
      <w:sz w:val="40"/>
    </w:rPr>
  </w:style>
  <w:style w:type="paragraph" w:customStyle="1" w:styleId="131">
    <w:name w:val="CR Cover Page"/>
    <w:link w:val="188"/>
    <w:uiPriority w:val="0"/>
    <w:pPr>
      <w:spacing w:after="120"/>
    </w:pPr>
    <w:rPr>
      <w:rFonts w:ascii="Arial" w:hAnsi="Arial" w:eastAsia="宋体" w:cs="Times New Roman"/>
      <w:lang w:val="en-GB" w:eastAsia="en-US" w:bidi="ar-SA"/>
    </w:rPr>
  </w:style>
  <w:style w:type="paragraph" w:customStyle="1" w:styleId="132">
    <w:name w:val="tdoc-header"/>
    <w:uiPriority w:val="0"/>
    <w:rPr>
      <w:rFonts w:ascii="Arial" w:hAnsi="Arial" w:eastAsia="宋体" w:cs="Times New Roman"/>
      <w:sz w:val="24"/>
      <w:lang w:val="en-GB" w:eastAsia="en-US" w:bidi="ar-SA"/>
    </w:rPr>
  </w:style>
  <w:style w:type="paragraph" w:customStyle="1" w:styleId="133">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4">
    <w:name w:val="msoins"/>
    <w:basedOn w:val="12"/>
    <w:uiPriority w:val="0"/>
  </w:style>
  <w:style w:type="paragraph" w:customStyle="1" w:styleId="135">
    <w:name w:val="Reference"/>
    <w:basedOn w:val="1"/>
    <w:uiPriority w:val="0"/>
    <w:pPr>
      <w:tabs>
        <w:tab w:val="left" w:pos="851"/>
      </w:tabs>
      <w:ind w:left="851" w:hanging="851"/>
    </w:pPr>
  </w:style>
  <w:style w:type="character" w:customStyle="1" w:styleId="136">
    <w:name w:val="Header Char"/>
    <w:link w:val="38"/>
    <w:uiPriority w:val="0"/>
    <w:rPr>
      <w:rFonts w:ascii="Arial" w:hAnsi="Arial"/>
      <w:b/>
      <w:sz w:val="18"/>
      <w:lang w:eastAsia="en-US"/>
    </w:rPr>
  </w:style>
  <w:style w:type="paragraph" w:customStyle="1" w:styleId="137">
    <w:name w:val="Bibliography1"/>
    <w:basedOn w:val="1"/>
    <w:next w:val="1"/>
    <w:semiHidden/>
    <w:unhideWhenUsed/>
    <w:uiPriority w:val="37"/>
  </w:style>
  <w:style w:type="character" w:customStyle="1" w:styleId="138">
    <w:name w:val="Body Text Char"/>
    <w:link w:val="16"/>
    <w:uiPriority w:val="0"/>
    <w:rPr>
      <w:rFonts w:ascii="Times New Roman" w:hAnsi="Times New Roman"/>
      <w:lang w:eastAsia="en-US"/>
    </w:rPr>
  </w:style>
  <w:style w:type="character" w:customStyle="1" w:styleId="139">
    <w:name w:val="Body Text 2 Char"/>
    <w:link w:val="17"/>
    <w:uiPriority w:val="0"/>
    <w:rPr>
      <w:rFonts w:ascii="Times New Roman" w:hAnsi="Times New Roman"/>
      <w:lang w:eastAsia="en-US"/>
    </w:rPr>
  </w:style>
  <w:style w:type="character" w:customStyle="1" w:styleId="140">
    <w:name w:val="Body Text 3 Char"/>
    <w:link w:val="18"/>
    <w:uiPriority w:val="0"/>
    <w:rPr>
      <w:rFonts w:ascii="Times New Roman" w:hAnsi="Times New Roman"/>
      <w:sz w:val="16"/>
      <w:szCs w:val="16"/>
      <w:lang w:eastAsia="en-US"/>
    </w:rPr>
  </w:style>
  <w:style w:type="character" w:customStyle="1" w:styleId="141">
    <w:name w:val="Body Text First Indent Char"/>
    <w:basedOn w:val="138"/>
    <w:link w:val="19"/>
    <w:uiPriority w:val="0"/>
    <w:rPr>
      <w:rFonts w:ascii="Times New Roman" w:hAnsi="Times New Roman"/>
      <w:lang w:eastAsia="en-US"/>
    </w:rPr>
  </w:style>
  <w:style w:type="character" w:customStyle="1" w:styleId="142">
    <w:name w:val="Body Text Indent Char"/>
    <w:link w:val="20"/>
    <w:uiPriority w:val="0"/>
    <w:rPr>
      <w:rFonts w:ascii="Times New Roman" w:hAnsi="Times New Roman"/>
      <w:lang w:eastAsia="en-US"/>
    </w:rPr>
  </w:style>
  <w:style w:type="character" w:customStyle="1" w:styleId="143">
    <w:name w:val="Body Text First Indent 2 Char"/>
    <w:basedOn w:val="142"/>
    <w:link w:val="21"/>
    <w:uiPriority w:val="0"/>
    <w:rPr>
      <w:rFonts w:ascii="Times New Roman" w:hAnsi="Times New Roman"/>
      <w:lang w:eastAsia="en-US"/>
    </w:rPr>
  </w:style>
  <w:style w:type="character" w:customStyle="1" w:styleId="144">
    <w:name w:val="Body Text Indent 2 Char"/>
    <w:link w:val="22"/>
    <w:uiPriority w:val="0"/>
    <w:rPr>
      <w:rFonts w:ascii="Times New Roman" w:hAnsi="Times New Roman"/>
      <w:lang w:eastAsia="en-US"/>
    </w:rPr>
  </w:style>
  <w:style w:type="character" w:customStyle="1" w:styleId="145">
    <w:name w:val="Body Text Indent 3 Char"/>
    <w:link w:val="23"/>
    <w:uiPriority w:val="0"/>
    <w:rPr>
      <w:rFonts w:ascii="Times New Roman" w:hAnsi="Times New Roman"/>
      <w:sz w:val="16"/>
      <w:szCs w:val="16"/>
      <w:lang w:eastAsia="en-US"/>
    </w:rPr>
  </w:style>
  <w:style w:type="character" w:customStyle="1" w:styleId="146">
    <w:name w:val="Closing Char"/>
    <w:link w:val="25"/>
    <w:uiPriority w:val="0"/>
    <w:rPr>
      <w:rFonts w:ascii="Times New Roman" w:hAnsi="Times New Roman"/>
      <w:lang w:eastAsia="en-US"/>
    </w:rPr>
  </w:style>
  <w:style w:type="character" w:customStyle="1" w:styleId="147">
    <w:name w:val="Comment Text Char"/>
    <w:link w:val="27"/>
    <w:uiPriority w:val="99"/>
    <w:rPr>
      <w:rFonts w:ascii="Times New Roman" w:hAnsi="Times New Roman"/>
      <w:lang w:eastAsia="en-US"/>
    </w:rPr>
  </w:style>
  <w:style w:type="character" w:customStyle="1" w:styleId="148">
    <w:name w:val="Comment Subject Char"/>
    <w:link w:val="28"/>
    <w:uiPriority w:val="0"/>
    <w:rPr>
      <w:rFonts w:ascii="Times New Roman" w:hAnsi="Times New Roman"/>
      <w:b/>
      <w:bCs/>
      <w:lang w:eastAsia="en-US"/>
    </w:rPr>
  </w:style>
  <w:style w:type="character" w:customStyle="1" w:styleId="149">
    <w:name w:val="Date Char"/>
    <w:link w:val="29"/>
    <w:uiPriority w:val="0"/>
    <w:rPr>
      <w:rFonts w:ascii="Times New Roman" w:hAnsi="Times New Roman"/>
      <w:lang w:eastAsia="en-US"/>
    </w:rPr>
  </w:style>
  <w:style w:type="character" w:customStyle="1" w:styleId="150">
    <w:name w:val="Document Map Char"/>
    <w:link w:val="30"/>
    <w:uiPriority w:val="0"/>
    <w:rPr>
      <w:rFonts w:ascii="Segoe UI" w:hAnsi="Segoe UI" w:cs="Segoe UI"/>
      <w:sz w:val="16"/>
      <w:szCs w:val="16"/>
      <w:lang w:eastAsia="en-US"/>
    </w:rPr>
  </w:style>
  <w:style w:type="character" w:customStyle="1" w:styleId="151">
    <w:name w:val="Email Signature Char"/>
    <w:link w:val="31"/>
    <w:uiPriority w:val="0"/>
    <w:rPr>
      <w:rFonts w:ascii="Times New Roman" w:hAnsi="Times New Roman"/>
      <w:lang w:eastAsia="en-US"/>
    </w:rPr>
  </w:style>
  <w:style w:type="character" w:customStyle="1" w:styleId="152">
    <w:name w:val="Endnote Text Char"/>
    <w:link w:val="33"/>
    <w:uiPriority w:val="0"/>
    <w:rPr>
      <w:rFonts w:ascii="Times New Roman" w:hAnsi="Times New Roman"/>
      <w:lang w:eastAsia="en-US"/>
    </w:rPr>
  </w:style>
  <w:style w:type="character" w:customStyle="1" w:styleId="153">
    <w:name w:val="HTML Address Char"/>
    <w:link w:val="41"/>
    <w:uiPriority w:val="0"/>
    <w:rPr>
      <w:rFonts w:ascii="Times New Roman" w:hAnsi="Times New Roman"/>
      <w:i/>
      <w:iCs/>
      <w:lang w:eastAsia="en-US"/>
    </w:rPr>
  </w:style>
  <w:style w:type="character" w:customStyle="1" w:styleId="154">
    <w:name w:val="HTML Preformatted Char"/>
    <w:link w:val="42"/>
    <w:uiPriority w:val="0"/>
    <w:rPr>
      <w:rFonts w:ascii="Courier New" w:hAnsi="Courier New" w:cs="Courier New"/>
      <w:lang w:eastAsia="en-US"/>
    </w:rPr>
  </w:style>
  <w:style w:type="paragraph" w:styleId="155">
    <w:name w:val="Intense Quote"/>
    <w:basedOn w:val="1"/>
    <w:next w:val="1"/>
    <w:link w:val="15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6">
    <w:name w:val="Intense Quote Char"/>
    <w:link w:val="155"/>
    <w:uiPriority w:val="30"/>
    <w:rPr>
      <w:rFonts w:ascii="Times New Roman" w:hAnsi="Times New Roman"/>
      <w:i/>
      <w:iCs/>
      <w:color w:val="4472C4"/>
      <w:lang w:eastAsia="en-US"/>
    </w:rPr>
  </w:style>
  <w:style w:type="paragraph" w:styleId="157">
    <w:name w:val="List Paragraph"/>
    <w:basedOn w:val="1"/>
    <w:qFormat/>
    <w:uiPriority w:val="34"/>
    <w:pPr>
      <w:ind w:left="720"/>
    </w:pPr>
  </w:style>
  <w:style w:type="character" w:customStyle="1" w:styleId="158">
    <w:name w:val="Macro Text Char"/>
    <w:link w:val="74"/>
    <w:uiPriority w:val="0"/>
    <w:rPr>
      <w:rFonts w:ascii="Courier New" w:hAnsi="Courier New" w:cs="Courier New"/>
      <w:lang w:eastAsia="en-US"/>
    </w:rPr>
  </w:style>
  <w:style w:type="character" w:customStyle="1" w:styleId="159">
    <w:name w:val="Message Header Char"/>
    <w:link w:val="75"/>
    <w:uiPriority w:val="0"/>
    <w:rPr>
      <w:rFonts w:ascii="Calibri Light" w:hAnsi="Calibri Light" w:eastAsia="Times New Roman" w:cs="Times New Roman"/>
      <w:sz w:val="24"/>
      <w:szCs w:val="24"/>
      <w:shd w:val="pct20" w:color="auto" w:fill="auto"/>
      <w:lang w:eastAsia="en-US"/>
    </w:rPr>
  </w:style>
  <w:style w:type="paragraph" w:styleId="160">
    <w:name w:val="No Spacing"/>
    <w:qFormat/>
    <w:uiPriority w:val="1"/>
    <w:rPr>
      <w:rFonts w:ascii="Times New Roman" w:hAnsi="Times New Roman" w:eastAsia="宋体" w:cs="Times New Roman"/>
      <w:lang w:val="en-GB" w:eastAsia="en-US" w:bidi="ar-SA"/>
    </w:rPr>
  </w:style>
  <w:style w:type="character" w:customStyle="1" w:styleId="161">
    <w:name w:val="Note Heading Char"/>
    <w:link w:val="78"/>
    <w:uiPriority w:val="0"/>
    <w:rPr>
      <w:rFonts w:ascii="Times New Roman" w:hAnsi="Times New Roman"/>
      <w:lang w:eastAsia="en-US"/>
    </w:rPr>
  </w:style>
  <w:style w:type="character" w:customStyle="1" w:styleId="162">
    <w:name w:val="Plain Text Char"/>
    <w:link w:val="79"/>
    <w:uiPriority w:val="0"/>
    <w:rPr>
      <w:rFonts w:ascii="Courier New" w:hAnsi="Courier New" w:cs="Courier New"/>
      <w:lang w:eastAsia="en-US"/>
    </w:rPr>
  </w:style>
  <w:style w:type="paragraph" w:styleId="163">
    <w:name w:val="Quote"/>
    <w:basedOn w:val="1"/>
    <w:next w:val="1"/>
    <w:link w:val="164"/>
    <w:qFormat/>
    <w:uiPriority w:val="29"/>
    <w:pPr>
      <w:spacing w:before="200" w:after="160"/>
      <w:ind w:left="864" w:right="864"/>
      <w:jc w:val="center"/>
    </w:pPr>
    <w:rPr>
      <w:i/>
      <w:iCs/>
      <w:color w:val="404040"/>
    </w:rPr>
  </w:style>
  <w:style w:type="character" w:customStyle="1" w:styleId="164">
    <w:name w:val="Quote Char"/>
    <w:link w:val="163"/>
    <w:uiPriority w:val="29"/>
    <w:rPr>
      <w:rFonts w:ascii="Times New Roman" w:hAnsi="Times New Roman"/>
      <w:i/>
      <w:iCs/>
      <w:color w:val="404040"/>
      <w:lang w:eastAsia="en-US"/>
    </w:rPr>
  </w:style>
  <w:style w:type="character" w:customStyle="1" w:styleId="165">
    <w:name w:val="Salutation Char"/>
    <w:link w:val="80"/>
    <w:uiPriority w:val="0"/>
    <w:rPr>
      <w:rFonts w:ascii="Times New Roman" w:hAnsi="Times New Roman"/>
      <w:lang w:eastAsia="en-US"/>
    </w:rPr>
  </w:style>
  <w:style w:type="character" w:customStyle="1" w:styleId="166">
    <w:name w:val="Signature Char"/>
    <w:link w:val="81"/>
    <w:uiPriority w:val="0"/>
    <w:rPr>
      <w:rFonts w:ascii="Times New Roman" w:hAnsi="Times New Roman"/>
      <w:lang w:eastAsia="en-US"/>
    </w:rPr>
  </w:style>
  <w:style w:type="character" w:customStyle="1" w:styleId="167">
    <w:name w:val="Subtitle Char"/>
    <w:link w:val="83"/>
    <w:uiPriority w:val="0"/>
    <w:rPr>
      <w:rFonts w:ascii="Calibri Light" w:hAnsi="Calibri Light" w:eastAsia="Times New Roman" w:cs="Times New Roman"/>
      <w:sz w:val="24"/>
      <w:szCs w:val="24"/>
      <w:lang w:eastAsia="en-US"/>
    </w:rPr>
  </w:style>
  <w:style w:type="character" w:customStyle="1" w:styleId="168">
    <w:name w:val="Title Char"/>
    <w:link w:val="87"/>
    <w:uiPriority w:val="0"/>
    <w:rPr>
      <w:rFonts w:ascii="Calibri Light" w:hAnsi="Calibri Light" w:eastAsia="Times New Roman" w:cs="Times New Roman"/>
      <w:b/>
      <w:bCs/>
      <w:kern w:val="28"/>
      <w:sz w:val="32"/>
      <w:szCs w:val="32"/>
      <w:lang w:eastAsia="en-US"/>
    </w:rPr>
  </w:style>
  <w:style w:type="paragraph" w:customStyle="1" w:styleId="169">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0">
    <w:name w:val="blue-complex-underline"/>
    <w:basedOn w:val="12"/>
    <w:uiPriority w:val="0"/>
  </w:style>
  <w:style w:type="paragraph" w:customStyle="1" w:styleId="171">
    <w:name w:val="Bullet"/>
    <w:basedOn w:val="1"/>
    <w:uiPriority w:val="0"/>
  </w:style>
  <w:style w:type="character" w:customStyle="1" w:styleId="172">
    <w:name w:val="red-underline"/>
    <w:basedOn w:val="12"/>
    <w:uiPriority w:val="0"/>
  </w:style>
  <w:style w:type="paragraph" w:customStyle="1" w:styleId="173">
    <w:name w:val="root-block-node"/>
    <w:basedOn w:val="1"/>
    <w:uiPriority w:val="0"/>
    <w:pPr>
      <w:spacing w:before="100" w:beforeAutospacing="1" w:after="100" w:afterAutospacing="1"/>
    </w:pPr>
    <w:rPr>
      <w:rFonts w:eastAsia="Times New Roman"/>
      <w:sz w:val="24"/>
      <w:szCs w:val="24"/>
      <w:lang w:val="en-IN" w:eastAsia="en-IN"/>
    </w:rPr>
  </w:style>
  <w:style w:type="character" w:customStyle="1" w:styleId="174">
    <w:name w:val="TF Char"/>
    <w:link w:val="104"/>
    <w:qFormat/>
    <w:locked/>
    <w:uiPriority w:val="0"/>
    <w:rPr>
      <w:rFonts w:ascii="Arial" w:hAnsi="Arial"/>
      <w:b/>
      <w:lang w:val="en-GB" w:eastAsia="en-US"/>
    </w:rPr>
  </w:style>
  <w:style w:type="character" w:customStyle="1" w:styleId="175">
    <w:name w:val="ref Char"/>
    <w:link w:val="176"/>
    <w:locked/>
    <w:uiPriority w:val="0"/>
    <w:rPr>
      <w:rFonts w:ascii="Times New Roman" w:hAnsi="Times New Roman" w:eastAsia="DengXian"/>
      <w:lang w:eastAsia="en-US"/>
    </w:rPr>
  </w:style>
  <w:style w:type="paragraph" w:customStyle="1" w:styleId="176">
    <w:name w:val="ref"/>
    <w:basedOn w:val="1"/>
    <w:link w:val="175"/>
    <w:qFormat/>
    <w:uiPriority w:val="0"/>
    <w:pPr>
      <w:ind w:left="720" w:hanging="720"/>
    </w:pPr>
    <w:rPr>
      <w:rFonts w:eastAsia="DengXian"/>
      <w:lang w:val="en-IN"/>
    </w:rPr>
  </w:style>
  <w:style w:type="character" w:customStyle="1" w:styleId="177">
    <w:name w:val="blue-underline"/>
    <w:basedOn w:val="12"/>
    <w:uiPriority w:val="0"/>
  </w:style>
  <w:style w:type="character" w:customStyle="1" w:styleId="178">
    <w:name w:val="NO Char"/>
    <w:link w:val="106"/>
    <w:qFormat/>
    <w:uiPriority w:val="0"/>
    <w:rPr>
      <w:rFonts w:ascii="Times New Roman" w:hAnsi="Times New Roman"/>
      <w:lang w:val="en-GB" w:eastAsia="en-US"/>
    </w:rPr>
  </w:style>
  <w:style w:type="character" w:customStyle="1" w:styleId="179">
    <w:name w:val="EX Char"/>
    <w:link w:val="107"/>
    <w:locked/>
    <w:uiPriority w:val="0"/>
    <w:rPr>
      <w:rFonts w:ascii="Times New Roman" w:hAnsi="Times New Roman"/>
      <w:lang w:val="en-GB" w:eastAsia="en-US"/>
    </w:rPr>
  </w:style>
  <w:style w:type="character" w:customStyle="1" w:styleId="180">
    <w:name w:val="B1 Char"/>
    <w:link w:val="125"/>
    <w:locked/>
    <w:uiPriority w:val="0"/>
    <w:rPr>
      <w:rFonts w:ascii="Times New Roman" w:hAnsi="Times New Roman"/>
      <w:lang w:val="en-GB" w:eastAsia="en-US"/>
    </w:rPr>
  </w:style>
  <w:style w:type="character" w:customStyle="1" w:styleId="181">
    <w:name w:val="Editor's Note Char Char"/>
    <w:link w:val="124"/>
    <w:locked/>
    <w:uiPriority w:val="0"/>
    <w:rPr>
      <w:rFonts w:ascii="Times New Roman" w:hAnsi="Times New Roman"/>
      <w:color w:val="FF0000"/>
      <w:lang w:val="en-GB" w:eastAsia="en-US"/>
    </w:rPr>
  </w:style>
  <w:style w:type="character" w:customStyle="1" w:styleId="182">
    <w:name w:val="Heading 3 Char"/>
    <w:link w:val="4"/>
    <w:uiPriority w:val="0"/>
    <w:rPr>
      <w:rFonts w:ascii="Arial" w:hAnsi="Arial"/>
      <w:sz w:val="28"/>
      <w:lang w:val="en-GB" w:eastAsia="en-US"/>
    </w:rPr>
  </w:style>
  <w:style w:type="character" w:customStyle="1" w:styleId="183">
    <w:name w:val="Heading 4 Char"/>
    <w:link w:val="5"/>
    <w:uiPriority w:val="0"/>
    <w:rPr>
      <w:rFonts w:ascii="Arial" w:hAnsi="Arial"/>
      <w:sz w:val="24"/>
      <w:lang w:val="en-GB" w:eastAsia="en-US"/>
    </w:rPr>
  </w:style>
  <w:style w:type="character" w:customStyle="1" w:styleId="184">
    <w:name w:val="Heading 1 Char"/>
    <w:link w:val="2"/>
    <w:uiPriority w:val="0"/>
    <w:rPr>
      <w:rFonts w:ascii="Arial" w:hAnsi="Arial"/>
      <w:sz w:val="36"/>
      <w:lang w:val="en-GB" w:eastAsia="en-US"/>
    </w:rPr>
  </w:style>
  <w:style w:type="character" w:customStyle="1" w:styleId="185">
    <w:name w:val="Heading 2 Char"/>
    <w:link w:val="3"/>
    <w:uiPriority w:val="0"/>
    <w:rPr>
      <w:rFonts w:ascii="Arial" w:hAnsi="Arial"/>
      <w:sz w:val="32"/>
      <w:lang w:val="en-GB" w:eastAsia="en-US"/>
    </w:rPr>
  </w:style>
  <w:style w:type="character" w:customStyle="1" w:styleId="186">
    <w:name w:val="normaltextrun"/>
    <w:basedOn w:val="12"/>
    <w:uiPriority w:val="0"/>
  </w:style>
  <w:style w:type="character" w:customStyle="1" w:styleId="187">
    <w:name w:val="eop"/>
    <w:basedOn w:val="12"/>
    <w:uiPriority w:val="0"/>
  </w:style>
  <w:style w:type="character" w:customStyle="1" w:styleId="188">
    <w:name w:val="CR Cover Page Zchn"/>
    <w:link w:val="131"/>
    <w:locked/>
    <w:uiPriority w:val="0"/>
    <w:rPr>
      <w:rFonts w:ascii="Arial" w:hAnsi="Arial"/>
      <w:lang w:val="en-GB" w:eastAsia="en-US"/>
    </w:rPr>
  </w:style>
  <w:style w:type="character" w:customStyle="1" w:styleId="189">
    <w:name w:val="TH Char"/>
    <w:link w:val="105"/>
    <w:qFormat/>
    <w:uiPriority w:val="0"/>
    <w:rPr>
      <w:rFonts w:ascii="Arial" w:hAnsi="Arial"/>
      <w:b/>
      <w:lang w:val="en-GB" w:eastAsia="en-US"/>
    </w:rPr>
  </w:style>
  <w:style w:type="character" w:customStyle="1" w:styleId="190">
    <w:name w:val="TAH Car"/>
    <w:link w:val="101"/>
    <w:uiPriority w:val="0"/>
    <w:rPr>
      <w:rFonts w:ascii="Arial" w:hAnsi="Arial"/>
      <w:b/>
      <w:sz w:val="18"/>
      <w:lang w:val="en-GB" w:eastAsia="en-US"/>
    </w:rPr>
  </w:style>
  <w:style w:type="character" w:customStyle="1" w:styleId="191">
    <w:name w:val="TAL Zchn"/>
    <w:link w:val="103"/>
    <w:uiPriority w:val="0"/>
    <w:rPr>
      <w:rFonts w:ascii="Arial" w:hAnsi="Arial"/>
      <w:sz w:val="18"/>
      <w:lang w:val="en-GB" w:eastAsia="en-US"/>
    </w:rPr>
  </w:style>
  <w:style w:type="character" w:customStyle="1" w:styleId="192">
    <w:name w:val="TAC Char"/>
    <w:link w:val="102"/>
    <w:qFormat/>
    <w:uiPriority w:val="0"/>
    <w:rPr>
      <w:rFonts w:ascii="Arial" w:hAnsi="Arial"/>
      <w:sz w:val="18"/>
      <w:lang w:val="en-GB" w:eastAsia="en-US"/>
    </w:rPr>
  </w:style>
  <w:style w:type="character" w:customStyle="1" w:styleId="193">
    <w:name w:val="B1 Char1"/>
    <w:qFormat/>
    <w:locked/>
    <w:uiPriority w:val="0"/>
    <w:rPr>
      <w:lang w:eastAsia="zh-CN"/>
    </w:rPr>
  </w:style>
  <w:style w:type="character" w:customStyle="1" w:styleId="194">
    <w:name w:val="B2 Char"/>
    <w:link w:val="126"/>
    <w:uiPriority w:val="0"/>
    <w:rPr>
      <w:rFonts w:ascii="Times New Roman" w:hAnsi="Times New Roman"/>
      <w:lang w:val="en-GB" w:eastAsia="en-US"/>
    </w:rPr>
  </w:style>
  <w:style w:type="paragraph" w:customStyle="1" w:styleId="195">
    <w:name w:val="Revision1"/>
    <w:hidden/>
    <w:semiHidden/>
    <w:uiPriority w:val="99"/>
    <w:rPr>
      <w:rFonts w:ascii="Times New Roman" w:hAnsi="Times New Roman" w:eastAsia="宋体" w:cs="Times New Roman"/>
      <w:lang w:val="en-GB" w:eastAsia="en-US" w:bidi="ar-SA"/>
    </w:rPr>
  </w:style>
  <w:style w:type="paragraph" w:customStyle="1" w:styleId="196">
    <w:name w:val="Revision"/>
    <w:hidden/>
    <w:unhideWhenUsed/>
    <w:uiPriority w:val="99"/>
    <w:rPr>
      <w:rFonts w:ascii="Times New Roman" w:hAnsi="Times New Roman" w:eastAsia="宋体" w:cs="Times New Roman"/>
      <w:lang w:val="en-GB" w:eastAsia="en-US" w:bidi="ar-SA"/>
    </w:rPr>
  </w:style>
  <w:style w:type="paragraph" w:customStyle="1" w:styleId="197">
    <w:name w:val="Doc-text2"/>
    <w:basedOn w:val="1"/>
    <w:qFormat/>
    <w:uiPriority w:val="0"/>
    <w:pPr>
      <w:widowControl/>
      <w:tabs>
        <w:tab w:val="left" w:pos="1622"/>
      </w:tabs>
      <w:ind w:left="1622" w:hanging="363"/>
      <w:jc w:val="left"/>
    </w:pPr>
    <w:rPr>
      <w:rFonts w:ascii="Arial" w:hAnsi="Arial" w:eastAsia="ＭＳ 明朝" w:cs="Times New Roman"/>
      <w:kern w:val="0"/>
      <w:sz w:val="20"/>
      <w:szCs w:val="24"/>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C:\Users\sakhare\AppData\Roaming\Microsoft\Templates\3GPP_70.dot</Template>
  <Company>3GPP Support Team</Company>
  <Pages>2</Pages>
  <Words>1240</Words>
  <Characters>7074</Characters>
  <Lines>58</Lines>
  <Paragraphs>16</Paragraphs>
  <TotalTime>19</TotalTime>
  <ScaleCrop>false</ScaleCrop>
  <LinksUpToDate>false</LinksUpToDate>
  <CharactersWithSpaces>8298</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2025-02-12T11:42:00Z</dcterms:created>
  <dc:creator>Michael Sanders, John M Meredith</dc:creator>
  <cp:lastModifiedBy>Apple</cp:lastModifiedBy>
  <cp:lastPrinted>1900-01-06T07:00:00Z</cp:lastPrinted>
  <dcterms:modified xsi:type="dcterms:W3CDTF">2025-10-05T16:32:00Z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85303504-c8f1-42c4-a1a4-1467c82b0e92</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y fmtid="{D5CDD505-2E9C-101B-9397-08002B2CF9AE}" pid="8" name="KSOProductBuildVer">
    <vt:lpwstr>1033-6.9.0.8865</vt:lpwstr>
  </property>
  <property fmtid="{D5CDD505-2E9C-101B-9397-08002B2CF9AE}" pid="9" name="ICV">
    <vt:lpwstr>CCA9A2064904ECA9BF87A567C70461D9_42</vt:lpwstr>
  </property>
</Properties>
</file>